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金川县人民法院</w:t>
      </w:r>
    </w:p>
    <w:p>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w:t>
      </w:r>
      <w:r>
        <w:rPr>
          <w:rFonts w:hint="eastAsia" w:ascii="楷体" w:eastAsia="楷体"/>
          <w:sz w:val="32"/>
          <w:szCs w:val="32"/>
          <w:lang w:eastAsia="zh-CN"/>
        </w:rPr>
        <w:t>部门</w:t>
      </w:r>
      <w:r>
        <w:rPr>
          <w:rFonts w:hint="eastAsia" w:ascii="楷体" w:eastAsia="楷体"/>
          <w:sz w:val="32"/>
          <w:szCs w:val="32"/>
        </w:rPr>
        <w:t>职能简介</w:t>
      </w:r>
    </w:p>
    <w:p>
      <w:pPr>
        <w:pStyle w:val="10"/>
        <w:spacing w:before="0" w:line="360" w:lineRule="auto"/>
        <w:ind w:left="651" w:leftChars="310"/>
        <w:jc w:val="left"/>
        <w:rPr>
          <w:rFonts w:hint="eastAsia" w:ascii="仿宋_GB2312" w:hAnsi="Calibri" w:eastAsia="仿宋_GB2312" w:cs="仿宋_GB2312"/>
          <w:color w:val="auto"/>
          <w:kern w:val="2"/>
          <w:sz w:val="32"/>
          <w:szCs w:val="32"/>
          <w:lang w:val="en-US" w:eastAsia="zh-CN" w:bidi="ar-SA"/>
        </w:rPr>
      </w:pPr>
      <w:r>
        <w:rPr>
          <w:rFonts w:hint="eastAsia" w:ascii="仿宋_GB2312" w:hAnsi="Calibri" w:eastAsia="仿宋_GB2312" w:cs="仿宋_GB2312"/>
          <w:color w:val="auto"/>
          <w:kern w:val="2"/>
          <w:sz w:val="32"/>
          <w:szCs w:val="32"/>
          <w:lang w:val="en-US" w:eastAsia="zh-CN" w:bidi="ar-SA"/>
        </w:rPr>
        <w:t>1、</w:t>
      </w:r>
      <w:r>
        <w:rPr>
          <w:rFonts w:hint="eastAsia" w:ascii="仿宋_GB2312" w:hAnsi="Calibri" w:eastAsia="仿宋_GB2312" w:cs="仿宋_GB2312"/>
          <w:color w:val="auto"/>
          <w:kern w:val="2"/>
          <w:sz w:val="32"/>
          <w:szCs w:val="32"/>
          <w:lang w:val="zh-CN" w:eastAsia="zh-CN" w:bidi="ar-SA"/>
        </w:rPr>
        <w:t>审判法律规定由金川县人民法院管辖和其认为应当由自己审判的刑事、民事、经济、行政等一审案件。</w:t>
      </w:r>
    </w:p>
    <w:p>
      <w:pPr>
        <w:pStyle w:val="10"/>
        <w:spacing w:before="0" w:line="360" w:lineRule="auto"/>
        <w:ind w:left="651" w:leftChars="310"/>
        <w:jc w:val="left"/>
        <w:rPr>
          <w:rFonts w:hint="eastAsia" w:ascii="仿宋_GB2312" w:hAnsi="Calibri" w:eastAsia="仿宋_GB2312" w:cs="仿宋_GB2312"/>
          <w:color w:val="auto"/>
          <w:kern w:val="2"/>
          <w:sz w:val="32"/>
          <w:szCs w:val="32"/>
          <w:lang w:val="zh-CN" w:eastAsia="zh-CN" w:bidi="ar-SA"/>
        </w:rPr>
      </w:pPr>
      <w:r>
        <w:rPr>
          <w:rFonts w:hint="eastAsia" w:ascii="仿宋_GB2312" w:hAnsi="Calibri" w:eastAsia="仿宋_GB2312" w:cs="仿宋_GB2312"/>
          <w:color w:val="auto"/>
          <w:kern w:val="2"/>
          <w:sz w:val="32"/>
          <w:szCs w:val="32"/>
          <w:lang w:val="en-US" w:eastAsia="zh-CN" w:bidi="ar-SA"/>
        </w:rPr>
        <w:t>2、</w:t>
      </w:r>
      <w:r>
        <w:rPr>
          <w:rFonts w:hint="eastAsia" w:ascii="仿宋_GB2312" w:hAnsi="Calibri" w:eastAsia="仿宋_GB2312" w:cs="仿宋_GB2312"/>
          <w:color w:val="auto"/>
          <w:kern w:val="2"/>
          <w:sz w:val="32"/>
          <w:szCs w:val="32"/>
          <w:lang w:val="zh-CN" w:eastAsia="zh-CN" w:bidi="ar-SA"/>
        </w:rPr>
        <w:t>审判州中级人民法院指令再审案件和不服一审判决，裁定的各类申诉和申请再审案件。</w:t>
      </w:r>
    </w:p>
    <w:p>
      <w:pPr>
        <w:pStyle w:val="10"/>
        <w:spacing w:before="0" w:line="360" w:lineRule="auto"/>
        <w:ind w:left="651" w:leftChars="310"/>
        <w:jc w:val="left"/>
        <w:rPr>
          <w:rFonts w:hint="eastAsia" w:ascii="仿宋_GB2312" w:hAnsi="Calibri" w:eastAsia="仿宋_GB2312" w:cs="仿宋_GB2312"/>
          <w:color w:val="auto"/>
          <w:kern w:val="2"/>
          <w:sz w:val="32"/>
          <w:szCs w:val="32"/>
          <w:lang w:val="zh-CN" w:eastAsia="zh-CN" w:bidi="ar-SA"/>
        </w:rPr>
      </w:pPr>
      <w:r>
        <w:rPr>
          <w:rFonts w:hint="eastAsia" w:ascii="仿宋_GB2312" w:hAnsi="Calibri" w:eastAsia="仿宋_GB2312" w:cs="仿宋_GB2312"/>
          <w:color w:val="auto"/>
          <w:kern w:val="2"/>
          <w:sz w:val="32"/>
          <w:szCs w:val="32"/>
          <w:lang w:val="en-US" w:eastAsia="zh-CN" w:bidi="ar-SA"/>
        </w:rPr>
        <w:t>3、</w:t>
      </w:r>
      <w:r>
        <w:rPr>
          <w:rFonts w:hint="eastAsia" w:ascii="仿宋_GB2312" w:hAnsi="Calibri" w:eastAsia="仿宋_GB2312" w:cs="仿宋_GB2312"/>
          <w:color w:val="auto"/>
          <w:kern w:val="2"/>
          <w:sz w:val="32"/>
          <w:szCs w:val="32"/>
          <w:lang w:val="zh-CN" w:eastAsia="zh-CN" w:bidi="ar-SA"/>
        </w:rPr>
        <w:t>依法行使司法执行权和司法决定权。</w:t>
      </w:r>
    </w:p>
    <w:p>
      <w:pPr>
        <w:pStyle w:val="10"/>
        <w:spacing w:before="0" w:line="360" w:lineRule="auto"/>
        <w:ind w:left="651" w:leftChars="310"/>
        <w:jc w:val="left"/>
        <w:rPr>
          <w:rFonts w:hint="eastAsia" w:ascii="仿宋_GB2312" w:hAnsi="Calibri" w:eastAsia="仿宋_GB2312" w:cs="仿宋_GB2312"/>
          <w:color w:val="auto"/>
          <w:kern w:val="2"/>
          <w:sz w:val="32"/>
          <w:szCs w:val="32"/>
          <w:lang w:val="zh-CN" w:eastAsia="zh-CN" w:bidi="ar-SA"/>
        </w:rPr>
      </w:pPr>
      <w:r>
        <w:rPr>
          <w:rFonts w:hint="eastAsia" w:ascii="仿宋_GB2312" w:hAnsi="Calibri" w:eastAsia="仿宋_GB2312" w:cs="仿宋_GB2312"/>
          <w:color w:val="auto"/>
          <w:kern w:val="2"/>
          <w:sz w:val="32"/>
          <w:szCs w:val="32"/>
          <w:lang w:val="en-US" w:eastAsia="zh-CN" w:bidi="ar-SA"/>
        </w:rPr>
        <w:t>4、</w:t>
      </w:r>
      <w:r>
        <w:rPr>
          <w:rFonts w:hint="eastAsia" w:ascii="仿宋_GB2312" w:hAnsi="Calibri" w:eastAsia="仿宋_GB2312" w:cs="仿宋_GB2312"/>
          <w:color w:val="auto"/>
          <w:kern w:val="2"/>
          <w:sz w:val="32"/>
          <w:szCs w:val="32"/>
          <w:lang w:val="zh-CN" w:eastAsia="zh-CN" w:bidi="ar-SA"/>
        </w:rPr>
        <w:t>针对审理案件中发现的问题，提出司法建议。</w:t>
      </w:r>
    </w:p>
    <w:p>
      <w:pPr>
        <w:pStyle w:val="10"/>
        <w:spacing w:before="0" w:line="360" w:lineRule="auto"/>
        <w:ind w:left="651" w:leftChars="310"/>
        <w:jc w:val="left"/>
        <w:rPr>
          <w:rFonts w:hint="eastAsia" w:ascii="仿宋_GB2312" w:hAnsi="Calibri" w:eastAsia="仿宋_GB2312" w:cs="仿宋_GB2312"/>
          <w:color w:val="auto"/>
          <w:kern w:val="2"/>
          <w:sz w:val="32"/>
          <w:szCs w:val="32"/>
          <w:lang w:val="zh-CN" w:eastAsia="zh-CN" w:bidi="ar-SA"/>
        </w:rPr>
      </w:pPr>
      <w:r>
        <w:rPr>
          <w:rFonts w:hint="eastAsia" w:ascii="仿宋_GB2312" w:hAnsi="Calibri" w:eastAsia="仿宋_GB2312" w:cs="仿宋_GB2312"/>
          <w:color w:val="auto"/>
          <w:kern w:val="2"/>
          <w:sz w:val="32"/>
          <w:szCs w:val="32"/>
          <w:lang w:val="en-US" w:eastAsia="zh-CN" w:bidi="ar-SA"/>
        </w:rPr>
        <w:t>5、</w:t>
      </w:r>
      <w:r>
        <w:rPr>
          <w:rFonts w:hint="eastAsia" w:ascii="仿宋_GB2312" w:hAnsi="Calibri" w:eastAsia="仿宋_GB2312" w:cs="仿宋_GB2312"/>
          <w:color w:val="auto"/>
          <w:kern w:val="2"/>
          <w:sz w:val="32"/>
          <w:szCs w:val="32"/>
          <w:lang w:val="zh-CN" w:eastAsia="zh-CN" w:bidi="ar-SA"/>
        </w:rPr>
        <w:t>负责各人民法庭和内部庭室的思想、政治、纪律教育、培训工作，按照权限管理法官、执行员、书记员、司法警察及司法行政人员。</w:t>
      </w:r>
    </w:p>
    <w:p>
      <w:pPr>
        <w:pStyle w:val="10"/>
        <w:spacing w:before="0" w:line="360" w:lineRule="auto"/>
        <w:ind w:left="651" w:leftChars="310"/>
        <w:jc w:val="left"/>
        <w:rPr>
          <w:rFonts w:hint="eastAsia" w:ascii="仿宋_GB2312" w:hAnsi="Calibri" w:eastAsia="仿宋_GB2312" w:cs="仿宋_GB2312"/>
          <w:color w:val="auto"/>
          <w:kern w:val="2"/>
          <w:sz w:val="32"/>
          <w:szCs w:val="32"/>
          <w:lang w:val="zh-CN" w:eastAsia="zh-CN" w:bidi="ar-SA"/>
        </w:rPr>
      </w:pPr>
      <w:r>
        <w:rPr>
          <w:rFonts w:hint="eastAsia" w:ascii="仿宋_GB2312" w:hAnsi="Calibri" w:eastAsia="仿宋_GB2312" w:cs="仿宋_GB2312"/>
          <w:color w:val="auto"/>
          <w:kern w:val="2"/>
          <w:sz w:val="32"/>
          <w:szCs w:val="32"/>
          <w:lang w:val="en-US" w:eastAsia="zh-CN" w:bidi="ar-SA"/>
        </w:rPr>
        <w:t>6、</w:t>
      </w:r>
      <w:r>
        <w:rPr>
          <w:rFonts w:hint="eastAsia" w:ascii="仿宋_GB2312" w:hAnsi="Calibri" w:eastAsia="仿宋_GB2312" w:cs="仿宋_GB2312"/>
          <w:color w:val="auto"/>
          <w:kern w:val="2"/>
          <w:sz w:val="32"/>
          <w:szCs w:val="32"/>
          <w:lang w:val="zh-CN" w:eastAsia="zh-CN" w:bidi="ar-SA"/>
        </w:rPr>
        <w:t>管理好法院有关经费和装备，加强物质文明的建设。</w:t>
      </w:r>
    </w:p>
    <w:p>
      <w:pPr>
        <w:pStyle w:val="10"/>
        <w:spacing w:before="0" w:line="360" w:lineRule="auto"/>
        <w:ind w:left="651" w:leftChars="310"/>
        <w:jc w:val="left"/>
        <w:rPr>
          <w:rFonts w:hint="eastAsia" w:ascii="仿宋_GB2312" w:hAnsi="Calibri" w:eastAsia="仿宋_GB2312" w:cs="仿宋_GB2312"/>
          <w:color w:val="auto"/>
          <w:kern w:val="2"/>
          <w:sz w:val="32"/>
          <w:szCs w:val="32"/>
          <w:lang w:val="zh-CN" w:eastAsia="zh-CN" w:bidi="ar-SA"/>
        </w:rPr>
      </w:pPr>
      <w:r>
        <w:rPr>
          <w:rFonts w:hint="eastAsia" w:ascii="仿宋_GB2312" w:hAnsi="Calibri" w:eastAsia="仿宋_GB2312" w:cs="仿宋_GB2312"/>
          <w:color w:val="auto"/>
          <w:kern w:val="2"/>
          <w:sz w:val="32"/>
          <w:szCs w:val="32"/>
          <w:lang w:val="en-US" w:eastAsia="zh-CN" w:bidi="ar-SA"/>
        </w:rPr>
        <w:t>7、</w:t>
      </w:r>
      <w:r>
        <w:rPr>
          <w:rFonts w:hint="eastAsia" w:ascii="仿宋_GB2312" w:hAnsi="Calibri" w:eastAsia="仿宋_GB2312" w:cs="仿宋_GB2312"/>
          <w:color w:val="auto"/>
          <w:kern w:val="2"/>
          <w:sz w:val="32"/>
          <w:szCs w:val="32"/>
          <w:lang w:val="zh-CN" w:eastAsia="zh-CN" w:bidi="ar-SA"/>
        </w:rPr>
        <w:t>宣传法制、教育公民忠于社会主义、自觉地遵守宪法、法律和社会公德。</w:t>
      </w:r>
    </w:p>
    <w:p>
      <w:pPr>
        <w:pStyle w:val="10"/>
        <w:spacing w:before="0" w:line="360" w:lineRule="auto"/>
        <w:ind w:left="651" w:leftChars="310"/>
        <w:jc w:val="left"/>
        <w:rPr>
          <w:rFonts w:hint="eastAsia" w:cs="宋体"/>
          <w:sz w:val="32"/>
          <w:szCs w:val="32"/>
          <w:lang w:val="zh-CN" w:eastAsia="zh-CN"/>
        </w:rPr>
      </w:pPr>
      <w:r>
        <w:rPr>
          <w:rFonts w:hint="eastAsia" w:ascii="仿宋_GB2312" w:hAnsi="Calibri" w:eastAsia="仿宋_GB2312" w:cs="仿宋_GB2312"/>
          <w:color w:val="auto"/>
          <w:kern w:val="2"/>
          <w:sz w:val="32"/>
          <w:szCs w:val="32"/>
          <w:lang w:val="en-US" w:eastAsia="zh-CN" w:bidi="ar-SA"/>
        </w:rPr>
        <w:t>8、</w:t>
      </w:r>
      <w:r>
        <w:rPr>
          <w:rFonts w:hint="eastAsia" w:ascii="仿宋_GB2312" w:hAnsi="Calibri" w:eastAsia="仿宋_GB2312" w:cs="仿宋_GB2312"/>
          <w:color w:val="auto"/>
          <w:kern w:val="2"/>
          <w:sz w:val="32"/>
          <w:szCs w:val="32"/>
          <w:lang w:val="zh-CN" w:eastAsia="zh-CN" w:bidi="ar-SA"/>
        </w:rPr>
        <w:t>承办其它应由金川县人民法院负责的工作</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pPr>
        <w:numPr>
          <w:ilvl w:val="0"/>
          <w:numId w:val="0"/>
        </w:numPr>
        <w:ind w:firstLine="640" w:firstLineChars="200"/>
        <w:rPr>
          <w:rFonts w:hint="default"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 xml:space="preserve"> </w:t>
      </w:r>
      <w:r>
        <w:rPr>
          <w:rFonts w:hint="default" w:ascii="仿宋_GB2312" w:eastAsia="仿宋_GB2312" w:cs="仿宋_GB2312"/>
          <w:color w:val="auto"/>
          <w:sz w:val="32"/>
          <w:szCs w:val="32"/>
          <w:lang w:val="en-US" w:eastAsia="zh-CN"/>
        </w:rPr>
        <w:t>坚持以习近平新时代中国特色社会主义思想为指导，深入贯彻习近平法治思想，全面贯彻落实党的二十大和二十届二中、三中全会精神，认真贯彻党中央</w:t>
      </w:r>
      <w:r>
        <w:rPr>
          <w:rFonts w:hint="eastAsia" w:ascii="仿宋_GB2312" w:eastAsia="仿宋_GB2312" w:cs="仿宋_GB2312"/>
          <w:color w:val="auto"/>
          <w:sz w:val="32"/>
          <w:szCs w:val="32"/>
          <w:lang w:val="en-US" w:eastAsia="zh-CN"/>
        </w:rPr>
        <w:t>和</w:t>
      </w:r>
      <w:r>
        <w:rPr>
          <w:rFonts w:hint="default" w:ascii="仿宋_GB2312" w:eastAsia="仿宋_GB2312" w:cs="仿宋_GB2312"/>
          <w:color w:val="auto"/>
          <w:sz w:val="32"/>
          <w:szCs w:val="32"/>
          <w:lang w:val="en-US" w:eastAsia="zh-CN"/>
        </w:rPr>
        <w:t>省</w:t>
      </w:r>
      <w:r>
        <w:rPr>
          <w:rFonts w:hint="eastAsia" w:ascii="仿宋_GB2312" w:eastAsia="仿宋_GB2312" w:cs="仿宋_GB2312"/>
          <w:color w:val="auto"/>
          <w:sz w:val="32"/>
          <w:szCs w:val="32"/>
          <w:lang w:val="en-US" w:eastAsia="zh-CN"/>
        </w:rPr>
        <w:t>委、州委、</w:t>
      </w:r>
      <w:r>
        <w:rPr>
          <w:rFonts w:hint="default" w:ascii="仿宋_GB2312" w:eastAsia="仿宋_GB2312" w:cs="仿宋_GB2312"/>
          <w:color w:val="auto"/>
          <w:sz w:val="32"/>
          <w:szCs w:val="32"/>
          <w:lang w:val="en-US" w:eastAsia="zh-CN"/>
        </w:rPr>
        <w:t>县委决策部署，紧紧围绕“公正与效率”主题，立足县委“一二</w:t>
      </w:r>
      <w:r>
        <w:rPr>
          <w:rFonts w:hint="eastAsia" w:ascii="仿宋_GB2312" w:eastAsia="仿宋_GB2312" w:cs="仿宋_GB2312"/>
          <w:color w:val="auto"/>
          <w:sz w:val="32"/>
          <w:szCs w:val="32"/>
          <w:lang w:val="en-US" w:eastAsia="zh-CN"/>
        </w:rPr>
        <w:t>六</w:t>
      </w:r>
      <w:r>
        <w:rPr>
          <w:rFonts w:hint="default" w:ascii="仿宋_GB2312" w:eastAsia="仿宋_GB2312" w:cs="仿宋_GB2312"/>
          <w:color w:val="auto"/>
          <w:sz w:val="32"/>
          <w:szCs w:val="32"/>
          <w:lang w:val="en-US" w:eastAsia="zh-CN"/>
        </w:rPr>
        <w:t>六”发展思路，坚持树优赋能、提质增效，持续推进审判工作现代化，为中国式现代化“美丽富裕幸福新金川”建设提供有力的司法保障和优质的法律服务。</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numPr>
          <w:ilvl w:val="0"/>
          <w:numId w:val="0"/>
        </w:numPr>
        <w:ind w:firstLine="640" w:firstLineChars="200"/>
        <w:rPr>
          <w:rFonts w:hint="eastAsia"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法院预算单位1个，行政单位1个。参照公务员法管理的事业单位0个，其他事业单位0个。</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楷体" w:eastAsia="楷体"/>
          <w:sz w:val="32"/>
          <w:szCs w:val="32"/>
        </w:rPr>
      </w:pPr>
      <w:r>
        <w:rPr>
          <w:rFonts w:hint="eastAsia" w:ascii="楷体" w:eastAsia="楷体"/>
          <w:sz w:val="32"/>
          <w:szCs w:val="32"/>
        </w:rPr>
        <w:t>（一）收入预算情况</w:t>
      </w:r>
    </w:p>
    <w:p>
      <w:pPr>
        <w:numPr>
          <w:ilvl w:val="0"/>
          <w:numId w:val="0"/>
        </w:numPr>
        <w:ind w:firstLine="640" w:firstLineChars="200"/>
        <w:rPr>
          <w:rFonts w:hint="eastAsia" w:ascii="仿宋_GB2312" w:eastAsia="仿宋_GB2312" w:cs="Times New Roman"/>
          <w:color w:val="000000" w:themeColor="text1"/>
          <w:sz w:val="32"/>
          <w:szCs w:val="32"/>
          <w14:textFill>
            <w14:solidFill>
              <w14:schemeClr w14:val="tx1"/>
            </w14:solidFill>
          </w14:textFill>
        </w:rPr>
      </w:pPr>
      <w:r>
        <w:rPr>
          <w:rFonts w:hint="eastAsia" w:ascii="仿宋_GB2312" w:eastAsia="仿宋_GB2312" w:cs="Times New Roman"/>
          <w:color w:val="000000" w:themeColor="text1"/>
          <w:sz w:val="32"/>
          <w:szCs w:val="32"/>
          <w:lang w:val="en-US" w:eastAsia="zh-CN"/>
          <w14:textFill>
            <w14:solidFill>
              <w14:schemeClr w14:val="tx1"/>
            </w14:solidFill>
          </w14:textFill>
        </w:rPr>
        <w:t>金川县人民法院2025年收入预算1137.96万元，其中：上年结转0万元，占0%；一般公共预算拨款收入1137.96万元，占100%。</w:t>
      </w:r>
    </w:p>
    <w:p>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pPr>
        <w:ind w:firstLine="640" w:firstLineChars="200"/>
        <w:rPr>
          <w:rFonts w:hint="eastAsia" w:ascii="仿宋_GB2312" w:hAnsi="仿宋_GB2312" w:eastAsia="仿宋_GB2312" w:cs="仿宋_GB2312"/>
          <w:sz w:val="32"/>
          <w:szCs w:val="32"/>
        </w:rPr>
      </w:pPr>
      <w:r>
        <w:rPr>
          <w:rFonts w:hint="eastAsia" w:ascii="仿宋_GB2312" w:eastAsia="仿宋_GB2312" w:cs="Times New Roman"/>
          <w:color w:val="000000" w:themeColor="text1"/>
          <w:sz w:val="32"/>
          <w:szCs w:val="32"/>
          <w14:textFill>
            <w14:solidFill>
              <w14:schemeClr w14:val="tx1"/>
            </w14:solidFill>
          </w14:textFill>
        </w:rPr>
        <w:t>金川县人民法院202</w:t>
      </w:r>
      <w:r>
        <w:rPr>
          <w:rFonts w:hint="eastAsia" w:ascii="仿宋_GB2312" w:eastAsia="仿宋_GB2312" w:cs="Times New Roman"/>
          <w:color w:val="000000" w:themeColor="text1"/>
          <w:sz w:val="32"/>
          <w:szCs w:val="32"/>
          <w:lang w:val="en-US" w:eastAsia="zh-CN"/>
          <w14:textFill>
            <w14:solidFill>
              <w14:schemeClr w14:val="tx1"/>
            </w14:solidFill>
          </w14:textFill>
        </w:rPr>
        <w:t>5</w:t>
      </w:r>
      <w:r>
        <w:rPr>
          <w:rFonts w:hint="eastAsia" w:ascii="仿宋_GB2312" w:eastAsia="仿宋_GB2312" w:cs="Times New Roman"/>
          <w:color w:val="000000" w:themeColor="text1"/>
          <w:sz w:val="32"/>
          <w:szCs w:val="32"/>
          <w14:textFill>
            <w14:solidFill>
              <w14:schemeClr w14:val="tx1"/>
            </w14:solidFill>
          </w14:textFill>
        </w:rPr>
        <w:t>年支出预算</w:t>
      </w:r>
      <w:r>
        <w:rPr>
          <w:rFonts w:hint="eastAsia" w:ascii="仿宋_GB2312" w:eastAsia="仿宋_GB2312" w:cs="Times New Roman"/>
          <w:color w:val="000000" w:themeColor="text1"/>
          <w:sz w:val="32"/>
          <w:szCs w:val="32"/>
          <w:lang w:val="en-US" w:eastAsia="zh-CN"/>
          <w14:textFill>
            <w14:solidFill>
              <w14:schemeClr w14:val="tx1"/>
            </w14:solidFill>
          </w14:textFill>
        </w:rPr>
        <w:t>1137.96</w:t>
      </w:r>
      <w:r>
        <w:rPr>
          <w:rFonts w:hint="eastAsia" w:ascii="仿宋_GB2312" w:eastAsia="仿宋_GB2312" w:cs="Times New Roman"/>
          <w:color w:val="000000" w:themeColor="text1"/>
          <w:sz w:val="32"/>
          <w:szCs w:val="32"/>
          <w14:textFill>
            <w14:solidFill>
              <w14:schemeClr w14:val="tx1"/>
            </w14:solidFill>
          </w14:textFill>
        </w:rPr>
        <w:t>万元，其中：基本支出</w:t>
      </w:r>
      <w:r>
        <w:rPr>
          <w:rFonts w:hint="eastAsia" w:ascii="仿宋_GB2312" w:eastAsia="仿宋_GB2312" w:cs="Times New Roman"/>
          <w:color w:val="000000" w:themeColor="text1"/>
          <w:sz w:val="32"/>
          <w:szCs w:val="32"/>
          <w:lang w:val="en-US" w:eastAsia="zh-CN"/>
          <w14:textFill>
            <w14:solidFill>
              <w14:schemeClr w14:val="tx1"/>
            </w14:solidFill>
          </w14:textFill>
        </w:rPr>
        <w:t>1137.96</w:t>
      </w:r>
      <w:r>
        <w:rPr>
          <w:rFonts w:hint="eastAsia" w:ascii="仿宋_GB2312" w:eastAsia="仿宋_GB2312" w:cs="Times New Roman"/>
          <w:color w:val="000000" w:themeColor="text1"/>
          <w:sz w:val="32"/>
          <w:szCs w:val="32"/>
          <w14:textFill>
            <w14:solidFill>
              <w14:schemeClr w14:val="tx1"/>
            </w14:solidFill>
          </w14:textFill>
        </w:rPr>
        <w:t>万元，占</w:t>
      </w:r>
      <w:r>
        <w:rPr>
          <w:rFonts w:hint="eastAsia" w:ascii="仿宋_GB2312" w:eastAsia="仿宋_GB2312" w:cs="Times New Roman"/>
          <w:color w:val="000000" w:themeColor="text1"/>
          <w:sz w:val="32"/>
          <w:szCs w:val="32"/>
          <w:lang w:val="en-US" w:eastAsia="zh-CN"/>
          <w14:textFill>
            <w14:solidFill>
              <w14:schemeClr w14:val="tx1"/>
            </w14:solidFill>
          </w14:textFill>
        </w:rPr>
        <w:t>100</w:t>
      </w:r>
      <w:r>
        <w:rPr>
          <w:rFonts w:hint="eastAsia" w:ascii="仿宋_GB2312" w:eastAsia="仿宋_GB2312" w:cs="Times New Roman"/>
          <w:color w:val="000000" w:themeColor="text1"/>
          <w:sz w:val="32"/>
          <w:szCs w:val="32"/>
          <w14:textFill>
            <w14:solidFill>
              <w14:schemeClr w14:val="tx1"/>
            </w14:solidFill>
          </w14:textFill>
        </w:rPr>
        <w:t>%；项目支出</w:t>
      </w:r>
      <w:r>
        <w:rPr>
          <w:rFonts w:hint="eastAsia" w:ascii="仿宋_GB2312" w:eastAsia="仿宋_GB2312" w:cs="Times New Roman"/>
          <w:color w:val="000000" w:themeColor="text1"/>
          <w:sz w:val="32"/>
          <w:szCs w:val="32"/>
          <w:lang w:val="en-US" w:eastAsia="zh-CN"/>
          <w14:textFill>
            <w14:solidFill>
              <w14:schemeClr w14:val="tx1"/>
            </w14:solidFill>
          </w14:textFill>
        </w:rPr>
        <w:t>0</w:t>
      </w:r>
      <w:r>
        <w:rPr>
          <w:rFonts w:hint="eastAsia" w:ascii="仿宋_GB2312" w:eastAsia="仿宋_GB2312" w:cs="Times New Roman"/>
          <w:color w:val="000000" w:themeColor="text1"/>
          <w:sz w:val="32"/>
          <w:szCs w:val="32"/>
          <w14:textFill>
            <w14:solidFill>
              <w14:schemeClr w14:val="tx1"/>
            </w14:solidFill>
          </w14:textFill>
        </w:rPr>
        <w:t>万元</w:t>
      </w:r>
      <w:r>
        <w:rPr>
          <w:rFonts w:hint="eastAsia" w:ascii="仿宋_GB2312" w:hAnsi="仿宋_GB2312" w:eastAsia="仿宋_GB2312" w:cs="仿宋_GB2312"/>
          <w:sz w:val="32"/>
          <w:szCs w:val="32"/>
        </w:rPr>
        <w:t>。</w:t>
      </w:r>
    </w:p>
    <w:p>
      <w:pPr>
        <w:numPr>
          <w:ilvl w:val="0"/>
          <w:numId w:val="1"/>
        </w:numPr>
        <w:ind w:left="1360" w:leftChars="0" w:hanging="720" w:firstLineChars="0"/>
        <w:rPr>
          <w:rFonts w:hint="eastAsia" w:ascii="黑体" w:eastAsia="黑体"/>
          <w:sz w:val="32"/>
          <w:szCs w:val="32"/>
        </w:rPr>
      </w:pPr>
      <w:r>
        <w:rPr>
          <w:rFonts w:hint="eastAsia" w:ascii="黑体" w:eastAsia="黑体"/>
          <w:sz w:val="32"/>
          <w:szCs w:val="32"/>
        </w:rPr>
        <w:t>财政拨款收支预算情况说明</w:t>
      </w:r>
    </w:p>
    <w:p>
      <w:pPr>
        <w:numPr>
          <w:numId w:val="0"/>
        </w:numPr>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部门（单位）</w:t>
      </w:r>
      <w:r>
        <w:rPr>
          <w:rFonts w:hint="eastAsia" w:ascii="仿宋_GB2312" w:eastAsia="仿宋_GB2312"/>
          <w:color w:val="000000" w:themeColor="text1"/>
          <w:sz w:val="32"/>
          <w:szCs w:val="32"/>
          <w14:textFill>
            <w14:solidFill>
              <w14:schemeClr w14:val="tx1"/>
            </w14:solidFill>
          </w14:textFill>
        </w:rPr>
        <w:t>2025年财政拨款收支总预算</w:t>
      </w:r>
      <w:r>
        <w:rPr>
          <w:rFonts w:hint="eastAsia" w:ascii="仿宋_GB2312" w:eastAsia="仿宋_GB2312"/>
          <w:color w:val="000000" w:themeColor="text1"/>
          <w:sz w:val="32"/>
          <w:szCs w:val="32"/>
          <w:lang w:val="en-US" w:eastAsia="zh-CN"/>
          <w14:textFill>
            <w14:solidFill>
              <w14:schemeClr w14:val="tx1"/>
            </w14:solidFill>
          </w14:textFill>
        </w:rPr>
        <w:t>1137.96</w:t>
      </w:r>
      <w:r>
        <w:rPr>
          <w:rFonts w:hint="eastAsia" w:ascii="仿宋_GB2312" w:eastAsia="仿宋_GB2312"/>
          <w:color w:val="000000" w:themeColor="text1"/>
          <w:sz w:val="32"/>
          <w:szCs w:val="32"/>
          <w14:textFill>
            <w14:solidFill>
              <w14:schemeClr w14:val="tx1"/>
            </w14:solidFill>
          </w14:textFill>
        </w:rPr>
        <w:t>万元,比2024年财政拨款收支</w:t>
      </w:r>
      <w:r>
        <w:rPr>
          <w:rFonts w:hint="eastAsia" w:ascii="仿宋_GB2312" w:eastAsia="仿宋_GB2312" w:cs="Times New Roman"/>
          <w:color w:val="000000" w:themeColor="text1"/>
          <w:sz w:val="32"/>
          <w:szCs w:val="32"/>
          <w14:textFill>
            <w14:solidFill>
              <w14:schemeClr w14:val="tx1"/>
            </w14:solidFill>
          </w14:textFill>
        </w:rPr>
        <w:t>总预算增</w:t>
      </w:r>
      <w:r>
        <w:rPr>
          <w:rFonts w:hint="eastAsia" w:ascii="仿宋_GB2312" w:eastAsia="仿宋_GB2312" w:cs="Times New Roman"/>
          <w:color w:val="000000" w:themeColor="text1"/>
          <w:sz w:val="32"/>
          <w:szCs w:val="32"/>
          <w:lang w:val="en-US" w:eastAsia="zh-CN"/>
          <w14:textFill>
            <w14:solidFill>
              <w14:schemeClr w14:val="tx1"/>
            </w14:solidFill>
          </w14:textFill>
        </w:rPr>
        <w:t>133.72</w:t>
      </w:r>
      <w:r>
        <w:rPr>
          <w:rFonts w:hint="eastAsia" w:ascii="仿宋_GB2312" w:eastAsia="仿宋_GB2312" w:cs="Times New Roman"/>
          <w:color w:val="000000" w:themeColor="text1"/>
          <w:sz w:val="32"/>
          <w:szCs w:val="32"/>
          <w14:textFill>
            <w14:solidFill>
              <w14:schemeClr w14:val="tx1"/>
            </w14:solidFill>
          </w14:textFill>
        </w:rPr>
        <w:t>万元，主</w:t>
      </w:r>
      <w:r>
        <w:rPr>
          <w:rFonts w:hint="eastAsia" w:ascii="仿宋_GB2312" w:eastAsia="仿宋_GB2312"/>
          <w:color w:val="000000" w:themeColor="text1"/>
          <w:sz w:val="32"/>
          <w:szCs w:val="32"/>
          <w14:textFill>
            <w14:solidFill>
              <w14:schemeClr w14:val="tx1"/>
            </w14:solidFill>
          </w14:textFill>
        </w:rPr>
        <w:t>要原因:</w:t>
      </w:r>
      <w:r>
        <w:rPr>
          <w:rFonts w:hint="eastAsia" w:ascii="仿宋_GB2312" w:eastAsia="仿宋_GB2312"/>
          <w:color w:val="000000" w:themeColor="text1"/>
          <w:sz w:val="32"/>
          <w:szCs w:val="32"/>
          <w:lang w:val="en-US" w:eastAsia="zh-CN"/>
          <w14:textFill>
            <w14:solidFill>
              <w14:schemeClr w14:val="tx1"/>
            </w14:solidFill>
          </w14:textFill>
        </w:rPr>
        <w:t>2024年退休及调动等减少人员较多。</w:t>
      </w:r>
    </w:p>
    <w:p>
      <w:pPr>
        <w:spacing w:line="54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eastAsia="仿宋_GB2312" w:cs="仿宋_GB2312"/>
          <w:sz w:val="32"/>
          <w:szCs w:val="32"/>
        </w:rPr>
        <w:t>收入包括</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一</w:t>
      </w:r>
      <w:r>
        <w:rPr>
          <w:rFonts w:hint="eastAsia" w:ascii="仿宋_GB2312" w:eastAsia="仿宋_GB2312" w:cs="Times New Roman"/>
          <w:color w:val="auto"/>
          <w:sz w:val="32"/>
          <w:szCs w:val="32"/>
        </w:rPr>
        <w:t>般公共预算拨款收入、上年结转</w:t>
      </w:r>
      <w:r>
        <w:rPr>
          <w:rFonts w:hint="eastAsia" w:ascii="仿宋_GB2312" w:hAnsi="仿宋_GB2312" w:eastAsia="仿宋_GB2312" w:cs="仿宋_GB2312"/>
          <w:color w:val="auto"/>
          <w:sz w:val="32"/>
          <w:szCs w:val="32"/>
          <w:lang w:eastAsia="zh-CN"/>
        </w:rPr>
        <w:t>。</w:t>
      </w:r>
    </w:p>
    <w:p>
      <w:pPr>
        <w:spacing w:line="540" w:lineRule="exact"/>
        <w:ind w:firstLine="640" w:firstLineChars="200"/>
        <w:rPr>
          <w:rFonts w:hint="default" w:ascii="仿宋_GB2312" w:eastAsia="仿宋_GB2312" w:cs="Times New Roman"/>
          <w:color w:val="000000" w:themeColor="text1"/>
          <w:sz w:val="32"/>
          <w:szCs w:val="32"/>
          <w:lang w:val="en-US" w:eastAsia="zh-CN"/>
          <w14:textFill>
            <w14:solidFill>
              <w14:schemeClr w14:val="tx1"/>
            </w14:solidFill>
          </w14:textFill>
        </w:rPr>
      </w:pPr>
      <w:r>
        <w:rPr>
          <w:rFonts w:hint="eastAsia" w:ascii="仿宋_GB2312" w:eastAsia="仿宋_GB2312" w:cs="仿宋_GB2312"/>
          <w:sz w:val="32"/>
          <w:szCs w:val="32"/>
        </w:rPr>
        <w:t>支</w:t>
      </w:r>
      <w:r>
        <w:rPr>
          <w:rFonts w:hint="eastAsia" w:ascii="仿宋_GB2312" w:eastAsia="仿宋_GB2312" w:cs="仿宋_GB2312"/>
          <w:color w:val="000000" w:themeColor="text1"/>
          <w:sz w:val="32"/>
          <w:szCs w:val="32"/>
          <w14:textFill>
            <w14:solidFill>
              <w14:schemeClr w14:val="tx1"/>
            </w14:solidFill>
          </w14:textFill>
        </w:rPr>
        <w:t>出包括：</w:t>
      </w:r>
      <w:r>
        <w:rPr>
          <w:rFonts w:hint="eastAsia" w:ascii="仿宋_GB2312" w:eastAsia="仿宋_GB2312" w:cs="Times New Roman"/>
          <w:color w:val="000000" w:themeColor="text1"/>
          <w:sz w:val="32"/>
          <w:szCs w:val="32"/>
          <w14:textFill>
            <w14:solidFill>
              <w14:schemeClr w14:val="tx1"/>
            </w14:solidFill>
          </w14:textFill>
        </w:rPr>
        <w:t>公共安全支出、社会保障和就业支出、医疗卫生与计划生育支出、住房保障支出</w:t>
      </w:r>
      <w:r>
        <w:rPr>
          <w:rFonts w:hint="eastAsia" w:ascii="仿宋_GB2312" w:eastAsia="仿宋_GB2312" w:cs="Times New Roman"/>
          <w:color w:val="000000" w:themeColor="text1"/>
          <w:sz w:val="32"/>
          <w:szCs w:val="32"/>
          <w:lang w:val="en-US" w:eastAsia="zh-CN"/>
          <w14:textFill>
            <w14:solidFill>
              <w14:schemeClr w14:val="tx1"/>
            </w14:solidFill>
          </w14:textFill>
        </w:rPr>
        <w:t>。</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0"/>
        <w:spacing w:before="0" w:line="360" w:lineRule="auto"/>
        <w:ind w:firstLine="660"/>
        <w:rPr>
          <w:rFonts w:hint="eastAsia" w:ascii="楷体" w:eastAsia="楷体" w:cs="宋体"/>
          <w:sz w:val="32"/>
          <w:szCs w:val="32"/>
        </w:rPr>
      </w:pPr>
      <w:r>
        <w:rPr>
          <w:rFonts w:hint="eastAsia" w:cs="仿宋_GB2312"/>
          <w:kern w:val="2"/>
          <w:sz w:val="32"/>
          <w:szCs w:val="32"/>
        </w:rPr>
        <w:t>部门（单位）</w:t>
      </w:r>
      <w:r>
        <w:rPr>
          <w:rFonts w:hint="eastAsia" w:cs="宋体"/>
          <w:sz w:val="32"/>
          <w:szCs w:val="32"/>
        </w:rPr>
        <w:t>2025年一般公共预算当年拨款</w:t>
      </w:r>
      <w:r>
        <w:rPr>
          <w:rFonts w:hint="eastAsia" w:cs="宋体"/>
          <w:sz w:val="32"/>
          <w:szCs w:val="32"/>
          <w:lang w:val="en-US" w:eastAsia="zh-CN"/>
        </w:rPr>
        <w:t>1137.96</w:t>
      </w:r>
      <w:r>
        <w:rPr>
          <w:rFonts w:hint="eastAsia" w:cs="宋体"/>
          <w:sz w:val="32"/>
          <w:szCs w:val="32"/>
        </w:rPr>
        <w:t>万元，比2024年预</w:t>
      </w:r>
      <w:r>
        <w:rPr>
          <w:rFonts w:hint="eastAsia" w:cs="宋体"/>
          <w:color w:val="000000" w:themeColor="text1"/>
          <w:sz w:val="32"/>
          <w:szCs w:val="32"/>
          <w14:textFill>
            <w14:solidFill>
              <w14:schemeClr w14:val="tx1"/>
            </w14:solidFill>
          </w14:textFill>
        </w:rPr>
        <w:t>算数</w:t>
      </w:r>
      <w:r>
        <w:rPr>
          <w:rFonts w:hint="eastAsia"/>
          <w:color w:val="000000" w:themeColor="text1"/>
          <w:sz w:val="32"/>
          <w:szCs w:val="32"/>
          <w14:textFill>
            <w14:solidFill>
              <w14:schemeClr w14:val="tx1"/>
            </w14:solidFill>
          </w14:textFill>
        </w:rPr>
        <w:t>减少</w:t>
      </w:r>
      <w:r>
        <w:rPr>
          <w:rFonts w:hint="eastAsia" w:cs="宋体"/>
          <w:color w:val="000000" w:themeColor="text1"/>
          <w:sz w:val="32"/>
          <w:szCs w:val="32"/>
          <w:lang w:val="en-US" w:eastAsia="zh-CN"/>
          <w14:textFill>
            <w14:solidFill>
              <w14:schemeClr w14:val="tx1"/>
            </w14:solidFill>
          </w14:textFill>
        </w:rPr>
        <w:t>133.72</w:t>
      </w:r>
      <w:r>
        <w:rPr>
          <w:rFonts w:hint="eastAsia" w:cs="宋体"/>
          <w:color w:val="000000" w:themeColor="text1"/>
          <w:sz w:val="32"/>
          <w:szCs w:val="32"/>
          <w14:textFill>
            <w14:solidFill>
              <w14:schemeClr w14:val="tx1"/>
            </w14:solidFill>
          </w14:textFill>
        </w:rPr>
        <w:t>万元，主要原因</w:t>
      </w:r>
      <w:r>
        <w:rPr>
          <w:rFonts w:hint="eastAsia" w:cs="宋体"/>
          <w:sz w:val="32"/>
          <w:szCs w:val="32"/>
        </w:rPr>
        <w:t>:</w:t>
      </w:r>
      <w:r>
        <w:rPr>
          <w:rFonts w:hint="eastAsia" w:ascii="仿宋_GB2312" w:eastAsia="仿宋_GB2312"/>
          <w:sz w:val="32"/>
          <w:szCs w:val="32"/>
          <w:lang w:val="en-US" w:eastAsia="zh-CN"/>
        </w:rPr>
        <w:t>2024年退休及调动等减少人员较多</w:t>
      </w:r>
      <w:r>
        <w:rPr>
          <w:rFonts w:hint="eastAsia"/>
          <w:sz w:val="32"/>
          <w:szCs w:val="32"/>
          <w:lang w:val="en-US" w:eastAsia="zh-CN"/>
        </w:rPr>
        <w:t>。</w:t>
      </w:r>
      <w:r>
        <w:rPr>
          <w:rFonts w:hint="eastAsia" w:cs="仿宋_GB2312"/>
          <w:kern w:val="2"/>
          <w:sz w:val="32"/>
          <w:szCs w:val="32"/>
        </w:rPr>
        <w:t>　</w:t>
      </w:r>
    </w:p>
    <w:p>
      <w:pPr>
        <w:pStyle w:val="10"/>
        <w:numPr>
          <w:numId w:val="0"/>
        </w:numPr>
        <w:spacing w:before="0" w:line="360" w:lineRule="auto"/>
        <w:ind w:firstLine="640" w:firstLineChars="200"/>
        <w:jc w:val="left"/>
        <w:rPr>
          <w:rFonts w:hint="eastAsia" w:ascii="楷体" w:eastAsia="楷体" w:cs="宋体"/>
          <w:sz w:val="32"/>
          <w:szCs w:val="32"/>
        </w:rPr>
      </w:pPr>
      <w:r>
        <w:rPr>
          <w:rFonts w:hint="eastAsia" w:ascii="楷体" w:eastAsia="楷体" w:cs="宋体"/>
          <w:sz w:val="32"/>
          <w:szCs w:val="32"/>
          <w:lang w:eastAsia="zh-CN"/>
        </w:rPr>
        <w:t>（二）</w:t>
      </w:r>
      <w:r>
        <w:rPr>
          <w:rFonts w:hint="eastAsia" w:ascii="楷体" w:eastAsia="楷体" w:cs="宋体"/>
          <w:sz w:val="32"/>
          <w:szCs w:val="32"/>
        </w:rPr>
        <w:t>一般公共预算当年拨款结构情况</w:t>
      </w:r>
    </w:p>
    <w:p>
      <w:pPr>
        <w:pStyle w:val="10"/>
        <w:numPr>
          <w:numId w:val="0"/>
        </w:numPr>
        <w:spacing w:before="0" w:line="360" w:lineRule="auto"/>
        <w:ind w:firstLine="640" w:firstLineChars="200"/>
        <w:jc w:val="left"/>
        <w:rPr>
          <w:rFonts w:hint="eastAsia" w:eastAsia="仿宋_GB2312" w:cs="仿宋_GB2312"/>
          <w:kern w:val="2"/>
          <w:sz w:val="32"/>
          <w:szCs w:val="32"/>
          <w:lang w:eastAsia="zh-CN"/>
        </w:rPr>
      </w:pPr>
      <w:r>
        <w:rPr>
          <w:rFonts w:hint="eastAsia" w:cs="宋体"/>
          <w:sz w:val="32"/>
          <w:szCs w:val="32"/>
          <w:lang w:eastAsia="zh-CN"/>
        </w:rPr>
        <w:t>公共安全</w:t>
      </w:r>
      <w:r>
        <w:rPr>
          <w:rFonts w:hint="eastAsia" w:cs="宋体"/>
          <w:sz w:val="32"/>
          <w:szCs w:val="32"/>
        </w:rPr>
        <w:t>支出</w:t>
      </w:r>
      <w:r>
        <w:rPr>
          <w:rFonts w:hint="eastAsia" w:cs="宋体"/>
          <w:sz w:val="32"/>
          <w:szCs w:val="32"/>
          <w:lang w:val="en-US" w:eastAsia="zh-CN"/>
        </w:rPr>
        <w:t>825.14</w:t>
      </w:r>
      <w:r>
        <w:rPr>
          <w:rFonts w:hint="eastAsia" w:cs="宋体"/>
          <w:sz w:val="32"/>
          <w:szCs w:val="32"/>
        </w:rPr>
        <w:t>万元，占</w:t>
      </w:r>
      <w:r>
        <w:rPr>
          <w:rFonts w:hint="eastAsia" w:cs="宋体"/>
          <w:sz w:val="32"/>
          <w:szCs w:val="32"/>
          <w:lang w:val="en-US" w:eastAsia="zh-CN"/>
        </w:rPr>
        <w:t>72.5</w:t>
      </w:r>
      <w:r>
        <w:rPr>
          <w:rFonts w:hint="eastAsia" w:cs="宋体"/>
          <w:sz w:val="32"/>
          <w:szCs w:val="32"/>
        </w:rPr>
        <w:t>%；社会保障和就业支</w:t>
      </w:r>
      <w:r>
        <w:rPr>
          <w:rFonts w:hint="eastAsia" w:cs="宋体"/>
          <w:sz w:val="32"/>
          <w:szCs w:val="32"/>
          <w:lang w:eastAsia="zh-CN"/>
        </w:rPr>
        <w:t>出</w:t>
      </w:r>
      <w:r>
        <w:rPr>
          <w:rFonts w:hint="eastAsia" w:cs="宋体"/>
          <w:sz w:val="32"/>
          <w:szCs w:val="32"/>
          <w:lang w:val="en-US" w:eastAsia="zh-CN"/>
        </w:rPr>
        <w:t>167.98万元，</w:t>
      </w:r>
      <w:r>
        <w:rPr>
          <w:rFonts w:hint="eastAsia" w:cs="宋体"/>
          <w:sz w:val="32"/>
          <w:szCs w:val="32"/>
        </w:rPr>
        <w:t>占</w:t>
      </w:r>
      <w:r>
        <w:rPr>
          <w:rFonts w:hint="eastAsia" w:cs="宋体"/>
          <w:sz w:val="32"/>
          <w:szCs w:val="32"/>
          <w:lang w:val="en-US" w:eastAsia="zh-CN"/>
        </w:rPr>
        <w:t>14.8</w:t>
      </w:r>
      <w:r>
        <w:rPr>
          <w:rFonts w:hint="eastAsia" w:cs="宋体"/>
          <w:sz w:val="32"/>
          <w:szCs w:val="32"/>
        </w:rPr>
        <w:t>%；</w:t>
      </w:r>
      <w:r>
        <w:rPr>
          <w:rFonts w:hint="eastAsia" w:cs="宋体"/>
          <w:sz w:val="32"/>
          <w:szCs w:val="32"/>
          <w:lang w:eastAsia="zh-CN"/>
        </w:rPr>
        <w:t>卫生将康支出</w:t>
      </w:r>
      <w:r>
        <w:rPr>
          <w:rFonts w:hint="eastAsia" w:cs="宋体"/>
          <w:sz w:val="32"/>
          <w:szCs w:val="32"/>
          <w:lang w:val="en-US" w:eastAsia="zh-CN"/>
        </w:rPr>
        <w:t>63.06万元，</w:t>
      </w:r>
      <w:r>
        <w:rPr>
          <w:rFonts w:hint="eastAsia" w:cs="宋体"/>
          <w:sz w:val="32"/>
          <w:szCs w:val="32"/>
        </w:rPr>
        <w:t>占</w:t>
      </w:r>
      <w:r>
        <w:rPr>
          <w:rFonts w:hint="eastAsia" w:cs="宋体"/>
          <w:sz w:val="32"/>
          <w:szCs w:val="32"/>
          <w:lang w:val="en-US" w:eastAsia="zh-CN"/>
        </w:rPr>
        <w:t>5.5</w:t>
      </w:r>
      <w:r>
        <w:rPr>
          <w:rFonts w:hint="eastAsia" w:cs="宋体"/>
          <w:sz w:val="32"/>
          <w:szCs w:val="32"/>
        </w:rPr>
        <w:t>%</w:t>
      </w:r>
      <w:r>
        <w:rPr>
          <w:rFonts w:hint="eastAsia" w:cs="宋体"/>
          <w:sz w:val="32"/>
          <w:szCs w:val="32"/>
          <w:lang w:eastAsia="zh-CN"/>
        </w:rPr>
        <w:t>；</w:t>
      </w:r>
      <w:r>
        <w:rPr>
          <w:rFonts w:hint="eastAsia" w:cs="宋体"/>
          <w:sz w:val="32"/>
          <w:szCs w:val="32"/>
        </w:rPr>
        <w:t>住房保障支出</w:t>
      </w:r>
      <w:r>
        <w:rPr>
          <w:rFonts w:hint="eastAsia" w:cs="宋体"/>
          <w:sz w:val="32"/>
          <w:szCs w:val="32"/>
          <w:lang w:val="en-US" w:eastAsia="zh-CN"/>
        </w:rPr>
        <w:t>81.78</w:t>
      </w:r>
      <w:r>
        <w:rPr>
          <w:rFonts w:hint="eastAsia" w:cs="宋体"/>
          <w:sz w:val="32"/>
          <w:szCs w:val="32"/>
        </w:rPr>
        <w:t>万元，占</w:t>
      </w:r>
      <w:r>
        <w:rPr>
          <w:rFonts w:hint="eastAsia" w:cs="宋体"/>
          <w:sz w:val="32"/>
          <w:szCs w:val="32"/>
          <w:lang w:val="en-US" w:eastAsia="zh-CN"/>
        </w:rPr>
        <w:t>7.2</w:t>
      </w:r>
      <w:r>
        <w:rPr>
          <w:rFonts w:hint="eastAsia" w:cs="宋体"/>
          <w:sz w:val="32"/>
          <w:szCs w:val="32"/>
        </w:rPr>
        <w:t>%</w:t>
      </w:r>
      <w:r>
        <w:rPr>
          <w:rFonts w:hint="eastAsia" w:cs="宋体"/>
          <w:sz w:val="32"/>
          <w:szCs w:val="32"/>
          <w:lang w:eastAsia="zh-CN"/>
        </w:rPr>
        <w:t>。</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numPr>
          <w:ilvl w:val="0"/>
          <w:numId w:val="0"/>
        </w:numPr>
        <w:ind w:firstLine="640" w:firstLineChars="200"/>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1. 公共安全支（类）法院（款）行政运行（项）:2025年预算数为825.14万元，主要用于：法院的正常运转的基本支出，包括基本工资、津贴补贴等人员经费以及办公费、印刷费、水电费等日常公用经费。</w:t>
      </w:r>
    </w:p>
    <w:p>
      <w:pPr>
        <w:numPr>
          <w:ilvl w:val="0"/>
          <w:numId w:val="0"/>
        </w:numPr>
        <w:ind w:firstLine="640" w:firstLineChars="200"/>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2. 公共安全支（类）法院（款）一般行政管理事务（项）:2025年预算数为0万元，主要用于：法院开展财政综合业务、预决算编审等未单独设置项级科目的专门性财政管理工作的项目支出。</w:t>
      </w:r>
    </w:p>
    <w:p>
      <w:pPr>
        <w:numPr>
          <w:ilvl w:val="0"/>
          <w:numId w:val="0"/>
        </w:numPr>
        <w:ind w:firstLine="640" w:firstLineChars="200"/>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3.社会保障和就业（类）行政事业单位离退休（款）机关事业单位基本养老保险缴费支出（项）:2025年预算数为111.99万元，主要用于：实施养老保险制度后，部门按规定由单位缴纳的基本养老保险费支出。</w:t>
      </w:r>
    </w:p>
    <w:p>
      <w:pPr>
        <w:numPr>
          <w:ilvl w:val="0"/>
          <w:numId w:val="0"/>
        </w:numPr>
        <w:ind w:firstLine="640" w:firstLineChars="200"/>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4.社会保障和就业（类）行政事业单位离退休（款）机关事业单位职业年金缴费支出（项）:2025年预算数为55.99万元，主要用于：实施养老保险制度后，部门按规定由单位缴纳的职业年金支出。</w:t>
      </w:r>
    </w:p>
    <w:p>
      <w:pPr>
        <w:numPr>
          <w:ilvl w:val="0"/>
          <w:numId w:val="0"/>
        </w:numPr>
        <w:ind w:firstLine="640" w:firstLineChars="200"/>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5.社会保障和就业（类）其他社会保障和就业（款）其他社会保障和就业支出（项）:2025年预算数为0万元，主要用于：对建国初期参加革命工作的部分退休干部适当照顾的支出。</w:t>
      </w:r>
    </w:p>
    <w:p>
      <w:pPr>
        <w:numPr>
          <w:ilvl w:val="0"/>
          <w:numId w:val="0"/>
        </w:numPr>
        <w:ind w:firstLine="640" w:firstLineChars="200"/>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6.医疗卫生与计划生育（类）行政事业单位医疗（款）行政单位医疗（项）:2025年预算数为49万元，主要用于：机关及参公管理事业单位基本医疗保险缴费支出。</w:t>
      </w:r>
    </w:p>
    <w:p>
      <w:pPr>
        <w:numPr>
          <w:ilvl w:val="0"/>
          <w:numId w:val="0"/>
        </w:numPr>
        <w:ind w:firstLine="640" w:firstLineChars="200"/>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7.医疗卫生与计划生育（类）行政事业单位医疗（款）事业单位医疗（项）:2025年预算数为0万元，主要用于：部门下属事业单位基本医疗保险缴费支出。</w:t>
      </w:r>
    </w:p>
    <w:p>
      <w:pPr>
        <w:numPr>
          <w:ilvl w:val="0"/>
          <w:numId w:val="0"/>
        </w:numPr>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　  8.医疗卫生与计划生育（类）行政事业单位医疗（款）公务员医疗补助（项）:2025年预算数为14.06万元，主要用于：机关及参公管理事业单位集中缴纳公务员医疗补助支出。</w:t>
      </w:r>
    </w:p>
    <w:p>
      <w:pPr>
        <w:numPr>
          <w:ilvl w:val="0"/>
          <w:numId w:val="0"/>
        </w:numPr>
        <w:ind w:firstLine="640" w:firstLineChars="200"/>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 xml:space="preserve">9.住房保障（类）住房改革支出（款）住房公积金（项）:2025年预算数为81.78万元，主要用于：部门按人力资源和社会保障部、财政部规定的基本工资和津贴补贴以及规定比例为职工缴纳的住房公积金支出。 </w:t>
      </w:r>
    </w:p>
    <w:p>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部门（单位）2025年一般公共预算基本支出</w:t>
      </w:r>
      <w:r>
        <w:rPr>
          <w:rFonts w:hint="eastAsia" w:cs="仿宋_GB2312"/>
          <w:kern w:val="2"/>
          <w:sz w:val="32"/>
          <w:szCs w:val="32"/>
          <w:lang w:val="en-US" w:eastAsia="zh-CN"/>
        </w:rPr>
        <w:t>1137.96</w:t>
      </w:r>
      <w:r>
        <w:rPr>
          <w:rFonts w:hint="eastAsia" w:cs="仿宋_GB2312"/>
          <w:kern w:val="2"/>
          <w:sz w:val="32"/>
          <w:szCs w:val="32"/>
        </w:rPr>
        <w:t>万元，其中：人员经费</w:t>
      </w:r>
      <w:r>
        <w:rPr>
          <w:rFonts w:hint="eastAsia" w:cs="仿宋_GB2312"/>
          <w:kern w:val="2"/>
          <w:sz w:val="32"/>
          <w:szCs w:val="32"/>
          <w:lang w:val="en-US" w:eastAsia="zh-CN"/>
        </w:rPr>
        <w:t>992.81</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145.16</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部门（单位）2025年“三公”经费财政拨款预算数</w:t>
      </w:r>
      <w:r>
        <w:rPr>
          <w:rFonts w:hint="eastAsia" w:cs="仿宋_GB2312"/>
          <w:kern w:val="2"/>
          <w:sz w:val="32"/>
          <w:szCs w:val="32"/>
          <w:lang w:val="en-US" w:eastAsia="zh-CN"/>
        </w:rPr>
        <w:t>28.95</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1.95</w:t>
      </w:r>
      <w:r>
        <w:rPr>
          <w:rFonts w:hint="eastAsia" w:cs="仿宋_GB2312"/>
          <w:kern w:val="2"/>
          <w:sz w:val="32"/>
          <w:szCs w:val="32"/>
        </w:rPr>
        <w:t>万元，公务用车购置及运行维护费</w:t>
      </w:r>
      <w:r>
        <w:rPr>
          <w:rFonts w:hint="eastAsia" w:cs="仿宋_GB2312"/>
          <w:kern w:val="2"/>
          <w:sz w:val="32"/>
          <w:szCs w:val="32"/>
          <w:lang w:val="en-US" w:eastAsia="zh-CN"/>
        </w:rPr>
        <w:t>27</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hint="eastAsia" w:cs="仿宋_GB2312"/>
          <w:color w:val="000000" w:themeColor="text1"/>
          <w:kern w:val="2"/>
          <w:sz w:val="32"/>
          <w:szCs w:val="32"/>
          <w:lang w:eastAsia="zh-CN"/>
          <w14:textFill>
            <w14:solidFill>
              <w14:schemeClr w14:val="tx1"/>
            </w14:solidFill>
          </w14:textFill>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1.95</w:t>
      </w:r>
      <w:r>
        <w:rPr>
          <w:rFonts w:hint="eastAsia" w:cs="仿宋_GB2312"/>
          <w:color w:val="000000"/>
          <w:kern w:val="2"/>
          <w:sz w:val="32"/>
          <w:szCs w:val="32"/>
        </w:rPr>
        <w:t>万元。</w:t>
      </w:r>
      <w:r>
        <w:rPr>
          <w:rFonts w:hint="eastAsia" w:cs="仿宋_GB2312"/>
          <w:color w:val="000000" w:themeColor="text1"/>
          <w:kern w:val="2"/>
          <w:sz w:val="32"/>
          <w:szCs w:val="32"/>
          <w14:textFill>
            <w14:solidFill>
              <w14:schemeClr w14:val="tx1"/>
            </w14:solidFill>
          </w14:textFill>
        </w:rPr>
        <w:t>较2024年预算经费减少</w:t>
      </w:r>
      <w:r>
        <w:rPr>
          <w:rFonts w:hint="eastAsia" w:cs="仿宋_GB2312"/>
          <w:color w:val="000000" w:themeColor="text1"/>
          <w:kern w:val="2"/>
          <w:sz w:val="32"/>
          <w:szCs w:val="32"/>
          <w:lang w:val="en-US" w:eastAsia="zh-CN"/>
          <w14:textFill>
            <w14:solidFill>
              <w14:schemeClr w14:val="tx1"/>
            </w14:solidFill>
          </w14:textFill>
        </w:rPr>
        <w:t>0.09</w:t>
      </w:r>
      <w:r>
        <w:rPr>
          <w:rFonts w:hint="eastAsia" w:cs="仿宋_GB2312"/>
          <w:color w:val="000000" w:themeColor="text1"/>
          <w:kern w:val="2"/>
          <w:sz w:val="32"/>
          <w:szCs w:val="32"/>
          <w14:textFill>
            <w14:solidFill>
              <w14:schemeClr w14:val="tx1"/>
            </w14:solidFill>
          </w14:textFill>
        </w:rPr>
        <w:t>万元，</w:t>
      </w:r>
      <w:r>
        <w:rPr>
          <w:rFonts w:hint="eastAsia" w:cs="宋体"/>
          <w:color w:val="000000" w:themeColor="text1"/>
          <w:sz w:val="32"/>
          <w:szCs w:val="32"/>
          <w:lang w:eastAsia="zh-CN"/>
          <w14:textFill>
            <w14:solidFill>
              <w14:schemeClr w14:val="tx1"/>
            </w14:solidFill>
          </w14:textFill>
        </w:rPr>
        <w:t>减少</w:t>
      </w:r>
      <w:r>
        <w:rPr>
          <w:rFonts w:hint="eastAsia" w:cs="仿宋_GB2312"/>
          <w:color w:val="000000" w:themeColor="text1"/>
          <w:kern w:val="2"/>
          <w:sz w:val="32"/>
          <w:szCs w:val="32"/>
          <w:lang w:val="en-US" w:eastAsia="zh-CN"/>
          <w14:textFill>
            <w14:solidFill>
              <w14:schemeClr w14:val="tx1"/>
            </w14:solidFill>
          </w14:textFill>
        </w:rPr>
        <w:t>4</w:t>
      </w:r>
      <w:r>
        <w:rPr>
          <w:rFonts w:hint="eastAsia" w:cs="仿宋_GB2312"/>
          <w:color w:val="000000" w:themeColor="text1"/>
          <w:kern w:val="2"/>
          <w:sz w:val="32"/>
          <w:szCs w:val="32"/>
          <w14:textFill>
            <w14:solidFill>
              <w14:schemeClr w14:val="tx1"/>
            </w14:solidFill>
          </w14:textFill>
        </w:rPr>
        <w:t>%，主要原因</w:t>
      </w:r>
      <w:r>
        <w:rPr>
          <w:rFonts w:hint="eastAsia" w:cs="仿宋_GB2312"/>
          <w:color w:val="000000" w:themeColor="text1"/>
          <w:kern w:val="2"/>
          <w:sz w:val="32"/>
          <w:szCs w:val="32"/>
          <w:lang w:eastAsia="zh-CN"/>
          <w14:textFill>
            <w14:solidFill>
              <w14:schemeClr w14:val="tx1"/>
            </w14:solidFill>
          </w14:textFill>
        </w:rPr>
        <w:t>厉行节约。</w:t>
      </w:r>
    </w:p>
    <w:p>
      <w:pPr>
        <w:pStyle w:val="10"/>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27</w:t>
      </w:r>
      <w:r>
        <w:rPr>
          <w:rFonts w:hint="eastAsia" w:cs="仿宋_GB2312"/>
          <w:color w:val="000000"/>
          <w:kern w:val="2"/>
          <w:sz w:val="32"/>
          <w:szCs w:val="32"/>
        </w:rPr>
        <w:t>万元。较2024年预算经费</w:t>
      </w:r>
      <w:r>
        <w:rPr>
          <w:rFonts w:hint="eastAsia" w:cs="仿宋_GB2312"/>
          <w:color w:val="000000"/>
          <w:kern w:val="2"/>
          <w:sz w:val="32"/>
          <w:szCs w:val="32"/>
          <w:lang w:eastAsia="zh-CN"/>
        </w:rPr>
        <w:t>相等。</w:t>
      </w:r>
    </w:p>
    <w:p>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pacing w:before="0" w:line="360" w:lineRule="auto"/>
        <w:ind w:firstLine="640" w:firstLineChars="200"/>
        <w:rPr>
          <w:rFonts w:hint="eastAsia" w:cs="宋体"/>
          <w:sz w:val="32"/>
          <w:szCs w:val="32"/>
          <w:lang w:eastAsia="zh-CN"/>
        </w:rPr>
      </w:pPr>
      <w:r>
        <w:rPr>
          <w:rFonts w:hint="eastAsia" w:cs="仿宋_GB2312"/>
          <w:kern w:val="2"/>
          <w:sz w:val="32"/>
          <w:szCs w:val="32"/>
        </w:rPr>
        <w:t>部门（单位）2025年政府性基金预算拨款安排的支出</w:t>
      </w:r>
      <w:r>
        <w:rPr>
          <w:rFonts w:hint="eastAsia" w:cs="仿宋_GB2312"/>
          <w:kern w:val="2"/>
          <w:sz w:val="32"/>
          <w:szCs w:val="32"/>
          <w:lang w:val="en-US" w:eastAsia="zh-CN"/>
        </w:rPr>
        <w:t>0</w:t>
      </w:r>
      <w:r>
        <w:rPr>
          <w:rFonts w:hint="eastAsia" w:cs="仿宋_GB2312"/>
          <w:kern w:val="2"/>
          <w:sz w:val="32"/>
          <w:szCs w:val="32"/>
        </w:rPr>
        <w:t>万元。较2024年预算经费</w:t>
      </w:r>
      <w:r>
        <w:rPr>
          <w:rFonts w:hint="eastAsia" w:cs="宋体"/>
          <w:sz w:val="32"/>
          <w:szCs w:val="32"/>
          <w:lang w:eastAsia="zh-CN"/>
        </w:rPr>
        <w:t>相同。</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0"/>
        <w:spacing w:before="0" w:line="360" w:lineRule="auto"/>
        <w:ind w:firstLine="640" w:firstLineChars="200"/>
        <w:rPr>
          <w:rFonts w:hint="default" w:eastAsia="仿宋_GB2312" w:cs="仿宋_GB2312"/>
          <w:color w:val="auto"/>
          <w:kern w:val="2"/>
          <w:sz w:val="32"/>
          <w:szCs w:val="32"/>
          <w:lang w:val="en-US" w:eastAsia="zh-CN"/>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部门（单位）2025年机关运行经费财政拨款预算为</w:t>
      </w:r>
      <w:r>
        <w:rPr>
          <w:rFonts w:hint="eastAsia" w:cs="仿宋_GB2312"/>
          <w:kern w:val="2"/>
          <w:sz w:val="32"/>
          <w:szCs w:val="32"/>
          <w:lang w:val="en-US" w:eastAsia="zh-CN"/>
        </w:rPr>
        <w:t>145.16</w:t>
      </w:r>
      <w:r>
        <w:rPr>
          <w:rFonts w:hint="eastAsia" w:cs="仿宋_GB2312"/>
          <w:kern w:val="2"/>
          <w:sz w:val="32"/>
          <w:szCs w:val="32"/>
        </w:rPr>
        <w:t>万元</w:t>
      </w:r>
      <w:r>
        <w:rPr>
          <w:rFonts w:hint="eastAsia" w:cs="仿宋_GB2312"/>
          <w:color w:val="auto"/>
          <w:kern w:val="2"/>
          <w:sz w:val="32"/>
          <w:szCs w:val="32"/>
        </w:rPr>
        <w:t>，比2024年预算减少</w:t>
      </w:r>
      <w:r>
        <w:rPr>
          <w:rFonts w:hint="eastAsia" w:cs="仿宋_GB2312"/>
          <w:color w:val="auto"/>
          <w:kern w:val="2"/>
          <w:sz w:val="32"/>
          <w:szCs w:val="32"/>
          <w:lang w:val="en-US" w:eastAsia="zh-CN"/>
        </w:rPr>
        <w:t>6.29</w:t>
      </w:r>
      <w:r>
        <w:rPr>
          <w:rFonts w:hint="eastAsia" w:cs="仿宋_GB2312"/>
          <w:color w:val="auto"/>
          <w:kern w:val="2"/>
          <w:sz w:val="32"/>
          <w:szCs w:val="32"/>
        </w:rPr>
        <w:t>万元，减少</w:t>
      </w:r>
      <w:r>
        <w:rPr>
          <w:rFonts w:hint="eastAsia" w:cs="仿宋_GB2312"/>
          <w:color w:val="auto"/>
          <w:kern w:val="2"/>
          <w:sz w:val="32"/>
          <w:szCs w:val="32"/>
          <w:lang w:val="en-US" w:eastAsia="zh-CN"/>
        </w:rPr>
        <w:t>4</w:t>
      </w:r>
      <w:r>
        <w:rPr>
          <w:rFonts w:hint="eastAsia" w:cs="仿宋_GB2312"/>
          <w:color w:val="auto"/>
          <w:kern w:val="2"/>
          <w:sz w:val="32"/>
          <w:szCs w:val="32"/>
        </w:rPr>
        <w:t>%。</w:t>
      </w:r>
      <w:r>
        <w:rPr>
          <w:rFonts w:hint="eastAsia" w:cs="仿宋_GB2312"/>
          <w:color w:val="auto"/>
          <w:kern w:val="2"/>
          <w:sz w:val="32"/>
          <w:szCs w:val="32"/>
          <w:lang w:val="en-US" w:eastAsia="zh-CN"/>
        </w:rPr>
        <w:t>2025年在县级财政预算基础绩效</w:t>
      </w:r>
      <w:r>
        <w:rPr>
          <w:rFonts w:hint="eastAsia" w:cs="仿宋_GB2312"/>
          <w:color w:val="auto"/>
          <w:kern w:val="2"/>
          <w:sz w:val="32"/>
          <w:szCs w:val="32"/>
        </w:rPr>
        <w:t xml:space="preserve"> </w:t>
      </w:r>
      <w:r>
        <w:rPr>
          <w:rFonts w:hint="eastAsia" w:cs="仿宋_GB2312"/>
          <w:color w:val="auto"/>
          <w:kern w:val="2"/>
          <w:sz w:val="32"/>
          <w:szCs w:val="32"/>
          <w:lang w:val="en-US" w:eastAsia="zh-CN"/>
        </w:rPr>
        <w:t>160.5万元。</w:t>
      </w:r>
    </w:p>
    <w:p>
      <w:pPr>
        <w:pStyle w:val="10"/>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color w:val="auto"/>
          <w:kern w:val="2"/>
          <w:sz w:val="32"/>
          <w:szCs w:val="32"/>
        </w:rPr>
        <w:t>（二）政府采购情况</w:t>
      </w:r>
      <w:r>
        <w:rPr>
          <w:rFonts w:hint="eastAsia" w:cs="仿宋_GB2312"/>
          <w:color w:val="auto"/>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0"/>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val="en-US" w:eastAsia="zh-CN"/>
        </w:rPr>
        <w:t>2128.84</w:t>
      </w:r>
      <w:r>
        <w:rPr>
          <w:rFonts w:hint="eastAsia" w:cs="仿宋_GB2312"/>
          <w:kern w:val="2"/>
          <w:sz w:val="32"/>
          <w:szCs w:val="32"/>
        </w:rPr>
        <w:t>万元。</w:t>
      </w:r>
    </w:p>
    <w:p>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bookmarkStart w:id="0" w:name="_GoBack"/>
      <w:bookmarkEnd w:id="0"/>
      <w:r>
        <w:rPr>
          <w:rFonts w:hint="eastAsia" w:cs="仿宋_GB2312"/>
          <w:kern w:val="2"/>
          <w:sz w:val="32"/>
          <w:szCs w:val="32"/>
        </w:rPr>
        <w:br w:type="textWrapping"/>
      </w:r>
      <w:r>
        <w:rPr>
          <w:rFonts w:hint="eastAsia" w:cs="仿宋_GB2312"/>
          <w:kern w:val="2"/>
          <w:sz w:val="32"/>
          <w:szCs w:val="32"/>
        </w:rPr>
        <w:t>　　2025年部门（单位）通用项目和专用项目均按要求实行绩效目标管理，涉及一般公共预算当年拨款</w:t>
      </w:r>
      <w:r>
        <w:rPr>
          <w:rFonts w:hint="eastAsia" w:cs="仿宋_GB2312"/>
          <w:kern w:val="2"/>
          <w:sz w:val="32"/>
          <w:szCs w:val="32"/>
          <w:lang w:val="en-US" w:eastAsia="zh-CN"/>
        </w:rPr>
        <w:t>1137.96</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7A85C2"/>
    <w:multiLevelType w:val="singleLevel"/>
    <w:tmpl w:val="AB7A85C2"/>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YmY4NTQyNzAwMDlhNjMxN2ZhYzAxMzM3OWI1MmI3YTUifQ=="/>
  </w:docVars>
  <w:rsids>
    <w:rsidRoot w:val="00000000"/>
    <w:rsid w:val="09DB3D5E"/>
    <w:rsid w:val="14AC5B87"/>
    <w:rsid w:val="17AE7EFE"/>
    <w:rsid w:val="186C142F"/>
    <w:rsid w:val="1D2B3667"/>
    <w:rsid w:val="2456054B"/>
    <w:rsid w:val="26F80972"/>
    <w:rsid w:val="431C27B1"/>
    <w:rsid w:val="4392593E"/>
    <w:rsid w:val="43E220A6"/>
    <w:rsid w:val="499D2C1F"/>
    <w:rsid w:val="49E60921"/>
    <w:rsid w:val="58F41A48"/>
    <w:rsid w:val="5B951D4E"/>
    <w:rsid w:val="670F5804"/>
    <w:rsid w:val="6D3B0355"/>
    <w:rsid w:val="7DDD71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2957</Words>
  <Characters>3244</Characters>
  <Lines>124</Lines>
  <Paragraphs>51</Paragraphs>
  <TotalTime>14</TotalTime>
  <ScaleCrop>false</ScaleCrop>
  <LinksUpToDate>false</LinksUpToDate>
  <CharactersWithSpaces>3281</CharactersWithSpaces>
  <Application>WPS Office_11.1.0.11830_F1E327BC-269C-435d-A152-05C5408002CA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lenovo</cp:lastModifiedBy>
  <cp:lastPrinted>2025-02-24T10:27:37Z</cp:lastPrinted>
  <dcterms:modified xsi:type="dcterms:W3CDTF">2025-02-24T10:37:28Z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FA3B86CA937A478896B70B00CFD815A0</vt:lpwstr>
  </property>
</Properties>
</file>