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p>
      <w:pPr>
        <w:pStyle w:val="2"/>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金川县人民检察院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32"/>
          <w:szCs w:val="32"/>
          <w:lang w:val="en-US" w:eastAsia="zh-CN"/>
        </w:rPr>
      </w:pPr>
    </w:p>
    <w:p>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12"/>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w:t>
      </w:r>
      <w:r>
        <w:rPr>
          <w:rFonts w:hint="eastAsia" w:ascii="楷体" w:hAnsi="楷体" w:eastAsia="楷体"/>
          <w:sz w:val="32"/>
          <w:szCs w:val="32"/>
          <w:lang w:val="en-US" w:eastAsia="zh-CN"/>
        </w:rPr>
        <w:t>检察院</w:t>
      </w:r>
      <w:r>
        <w:rPr>
          <w:rFonts w:hint="eastAsia" w:ascii="楷体" w:hAnsi="楷体" w:eastAsia="楷体"/>
          <w:sz w:val="32"/>
          <w:szCs w:val="32"/>
        </w:rPr>
        <w:t>职能简介</w:t>
      </w:r>
    </w:p>
    <w:p>
      <w:pPr>
        <w:rPr>
          <w:rFonts w:ascii="楷体" w:hAnsi="楷体" w:eastAsia="楷体"/>
          <w:sz w:val="32"/>
          <w:szCs w:val="32"/>
        </w:rPr>
      </w:pPr>
      <w:r>
        <w:rPr>
          <w:rFonts w:hint="eastAsia" w:ascii="楷体" w:hAnsi="楷体" w:eastAsia="楷体"/>
          <w:sz w:val="32"/>
          <w:szCs w:val="32"/>
        </w:rPr>
        <w:t>（二）</w:t>
      </w:r>
      <w:r>
        <w:rPr>
          <w:rFonts w:hint="eastAsia" w:ascii="楷体" w:hAnsi="楷体" w:eastAsia="楷体"/>
          <w:sz w:val="32"/>
          <w:szCs w:val="32"/>
          <w:lang w:val="en-US" w:eastAsia="zh-CN"/>
        </w:rPr>
        <w:t>检察院</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Theme="minorEastAsia" w:hAnsiTheme="minorEastAsia" w:eastAsiaTheme="minorEastAsia" w:cstheme="minorEastAsia"/>
          <w:sz w:val="32"/>
          <w:szCs w:val="32"/>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黑体" w:hAnsi="黑体" w:eastAsia="黑体" w:cs="黑体"/>
          <w:sz w:val="52"/>
          <w:szCs w:val="52"/>
        </w:rPr>
      </w:pPr>
    </w:p>
    <w:p>
      <w:pPr>
        <w:spacing w:line="420" w:lineRule="auto"/>
        <w:ind w:left="0" w:firstLine="0"/>
        <w:jc w:val="center"/>
        <w:rPr>
          <w:rFonts w:hint="eastAsia" w:ascii="黑体" w:hAnsi="黑体" w:eastAsia="黑体" w:cs="Times New Roman"/>
          <w:b w:val="0"/>
          <w:bCs w:val="0"/>
          <w:kern w:val="2"/>
          <w:sz w:val="32"/>
          <w:szCs w:val="32"/>
          <w:lang w:val="en-US" w:eastAsia="zh-CN" w:bidi="ar-SA"/>
        </w:rPr>
      </w:pPr>
      <w:r>
        <w:rPr>
          <w:rFonts w:hint="eastAsia" w:ascii="黑体" w:hAnsi="黑体" w:eastAsia="黑体" w:cs="Times New Roman"/>
          <w:b w:val="0"/>
          <w:bCs w:val="0"/>
          <w:kern w:val="2"/>
          <w:sz w:val="32"/>
          <w:szCs w:val="32"/>
          <w:lang w:val="en-US" w:eastAsia="zh-CN" w:bidi="ar-SA"/>
        </w:rPr>
        <w:t>金川县检察院</w:t>
      </w:r>
    </w:p>
    <w:p>
      <w:pPr>
        <w:spacing w:line="420" w:lineRule="auto"/>
        <w:ind w:left="0" w:firstLine="0"/>
        <w:jc w:val="center"/>
        <w:rPr>
          <w:rFonts w:hint="eastAsia" w:ascii="黑体" w:hAnsi="黑体" w:eastAsia="黑体" w:cs="Times New Roman"/>
          <w:b w:val="0"/>
          <w:bCs w:val="0"/>
          <w:kern w:val="2"/>
          <w:sz w:val="32"/>
          <w:szCs w:val="32"/>
          <w:lang w:val="en-US" w:eastAsia="zh-CN" w:bidi="ar-SA"/>
        </w:rPr>
      </w:pPr>
      <w:r>
        <w:rPr>
          <w:rFonts w:hint="eastAsia" w:ascii="黑体" w:hAnsi="黑体" w:eastAsia="黑体" w:cs="Times New Roman"/>
          <w:b w:val="0"/>
          <w:bCs w:val="0"/>
          <w:kern w:val="2"/>
          <w:sz w:val="32"/>
          <w:szCs w:val="32"/>
          <w:lang w:val="en-US" w:eastAsia="zh-CN" w:bidi="ar-SA"/>
        </w:rPr>
        <w:t>2025年部门预算编制说明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按照预算管理有关规定，目前部门预算的编制实行综合预算制度，即全部收入和支出都反映在预算中，现就2025年部门预算编制情况说明如下：</w:t>
      </w:r>
    </w:p>
    <w:p>
      <w:pPr>
        <w:pStyle w:val="4"/>
        <w:pageBreakBefore w:val="0"/>
        <w:widowControl w:val="0"/>
        <w:kinsoku/>
        <w:wordWrap/>
        <w:overflowPunct/>
        <w:topLinePunct w:val="0"/>
        <w:autoSpaceDE/>
        <w:autoSpaceDN/>
        <w:bidi w:val="0"/>
        <w:adjustRightInd/>
        <w:snapToGrid/>
        <w:spacing w:before="0" w:after="0"/>
        <w:ind w:left="0" w:leftChars="0" w:right="0" w:rightChars="0" w:firstLine="0" w:firstLineChars="0"/>
        <w:jc w:val="both"/>
        <w:textAlignment w:val="auto"/>
        <w:rPr>
          <w:rStyle w:val="10"/>
          <w:rFonts w:hint="eastAsia"/>
          <w:b/>
          <w:bCs/>
        </w:rPr>
      </w:pPr>
      <w:r>
        <w:rPr>
          <w:rFonts w:hint="eastAsia"/>
        </w:rPr>
        <w:t>　</w:t>
      </w:r>
      <w:r>
        <w:rPr>
          <w:rStyle w:val="10"/>
          <w:rFonts w:hint="eastAsia"/>
          <w:b/>
          <w:bCs/>
        </w:rPr>
        <w:t>　</w:t>
      </w:r>
      <w:bookmarkStart w:id="0" w:name="_Toc19614"/>
      <w:r>
        <w:rPr>
          <w:rFonts w:hint="eastAsia" w:ascii="黑体" w:hAnsi="黑体" w:eastAsia="黑体" w:cs="Times New Roman"/>
          <w:b w:val="0"/>
          <w:bCs w:val="0"/>
          <w:kern w:val="2"/>
          <w:sz w:val="32"/>
          <w:szCs w:val="32"/>
          <w:lang w:val="en-US" w:eastAsia="zh-CN" w:bidi="ar-SA"/>
        </w:rPr>
        <w:t>一、基本职能及主要工作</w:t>
      </w:r>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1"/>
          <w:rFonts w:hint="eastAsia"/>
        </w:rPr>
      </w:pPr>
      <w:r>
        <w:rPr>
          <w:rFonts w:hint="eastAsia" w:asciiTheme="minorEastAsia" w:hAnsiTheme="minorEastAsia" w:eastAsiaTheme="minorEastAsia" w:cstheme="minorEastAsia"/>
          <w:sz w:val="32"/>
          <w:szCs w:val="32"/>
        </w:rPr>
        <w:t>　</w:t>
      </w:r>
      <w:r>
        <w:rPr>
          <w:rFonts w:hint="eastAsia" w:ascii="楷体" w:hAnsi="楷体" w:eastAsia="楷体" w:cs="楷体"/>
          <w:kern w:val="0"/>
          <w:sz w:val="32"/>
          <w:szCs w:val="32"/>
          <w:lang w:val="en-US" w:eastAsia="zh-CN" w:bidi="ar-SA"/>
        </w:rPr>
        <w:t>　</w:t>
      </w:r>
      <w:bookmarkStart w:id="1" w:name="_Toc675"/>
      <w:r>
        <w:rPr>
          <w:rFonts w:hint="eastAsia" w:ascii="楷体" w:hAnsi="楷体" w:eastAsia="楷体" w:cs="楷体"/>
          <w:kern w:val="0"/>
          <w:sz w:val="32"/>
          <w:szCs w:val="32"/>
          <w:lang w:val="en-US" w:eastAsia="zh-CN" w:bidi="ar-SA"/>
        </w:rPr>
        <w:t>（一）检察院职能简介。</w:t>
      </w:r>
    </w:p>
    <w:bookmarkEnd w:id="1"/>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主要职能：审查批准逮捕、决定起诉并出席法庭支持公诉的职能。人民检察院是国家的法律监督机关，行使国家的检察权。对于叛国案、分裂国家案以及严重破坏国家的政策、法律、政令统一实施的重大犯罪案件，行使检察权。对于直接受理的国家工作人员利用职权实施的犯罪案件，进行侦查。对于公安机关、国家安全机关等侦查机关侦查的案件进行审查，决定是否逮捕、是否起诉，并监督侦查机关的侦查活动是否合法。对于刑事案件提起公诉，支持公诉；对于人民法院的刑事判决、裁定是否正确和审判活动是否合法实行监督。对于监狱、看守所等监所机关执行刑罚的活动是否合法实行监督。对于人民法院的民事审判活动实行法律监督，对人民法院已经发生效力的判决、裁定，发现违反法律、法规规定的，依法提出抗诉。对于行政诉讼实行法律监督。对人民法院已经发生效力的判决、裁定发现违反法律、法规规定的，依法提出抗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1"/>
          <w:rFonts w:hint="eastAsia"/>
        </w:rPr>
      </w:pPr>
      <w:r>
        <w:rPr>
          <w:rFonts w:hint="eastAsia" w:asciiTheme="minorEastAsia" w:hAnsiTheme="minorEastAsia" w:eastAsiaTheme="minorEastAsia" w:cstheme="minorEastAsia"/>
          <w:sz w:val="32"/>
          <w:szCs w:val="32"/>
        </w:rPr>
        <w:t xml:space="preserve">  </w:t>
      </w:r>
      <w:bookmarkStart w:id="2" w:name="_Toc4410"/>
      <w:r>
        <w:rPr>
          <w:rFonts w:hint="eastAsia" w:asciiTheme="minorEastAsia" w:hAnsiTheme="minorEastAsia" w:eastAsiaTheme="minorEastAsia" w:cstheme="minorEastAsia"/>
          <w:sz w:val="32"/>
          <w:szCs w:val="32"/>
          <w:lang w:val="en-US" w:eastAsia="zh-CN"/>
        </w:rPr>
        <w:t xml:space="preserve"> </w:t>
      </w:r>
      <w:r>
        <w:rPr>
          <w:rFonts w:hint="eastAsia" w:ascii="楷体" w:hAnsi="楷体" w:eastAsia="楷体" w:cs="楷体"/>
          <w:kern w:val="0"/>
          <w:sz w:val="32"/>
          <w:szCs w:val="32"/>
          <w:lang w:val="en-US" w:eastAsia="zh-CN" w:bidi="ar-SA"/>
        </w:rPr>
        <w:t>（二）检察院2025年重点工作。</w:t>
      </w:r>
    </w:p>
    <w:bookmarkEnd w:id="2"/>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spacing w:val="-14"/>
          <w:kern w:val="0"/>
          <w:sz w:val="32"/>
          <w:szCs w:val="32"/>
          <w:lang w:val="en-US" w:eastAsia="zh-CN"/>
        </w:rPr>
        <w:t>　</w:t>
      </w:r>
      <w:r>
        <w:rPr>
          <w:rFonts w:hint="eastAsia" w:ascii="仿宋_GB2312" w:hAnsi="宋体" w:eastAsia="仿宋_GB2312" w:cs="Times New Roman"/>
          <w:spacing w:val="-2"/>
          <w:kern w:val="2"/>
          <w:sz w:val="32"/>
          <w:szCs w:val="32"/>
          <w:lang w:val="en-US" w:eastAsia="zh-CN" w:bidi="ar-SA"/>
        </w:rPr>
        <w:t>　2025年主要工作任务是严格按照2025年的预算数和县财政局下达的预算进行拔付，主要支出如下：工资福利包括基本工资、津贴补贴、奖金、绩效工资、社会保险费等；对个人和家庭的补助支出包括离休费、退休费、遗属生活费等；商品和服务的支出按照县财政局下达公务经费定额标准、分类科目、结合实际开支，尽量不超预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rPr>
      </w:pPr>
      <w:r>
        <w:rPr>
          <w:rFonts w:hint="eastAsia" w:asciiTheme="minorEastAsia" w:hAnsiTheme="minorEastAsia" w:eastAsiaTheme="minorEastAsia" w:cstheme="minorEastAsia"/>
          <w:sz w:val="32"/>
          <w:szCs w:val="32"/>
        </w:rPr>
        <w:t xml:space="preserve">  </w:t>
      </w:r>
      <w:bookmarkStart w:id="3" w:name="_Toc12146"/>
      <w:r>
        <w:rPr>
          <w:rFonts w:hint="eastAsia" w:ascii="Calibri Light" w:hAnsi="Calibri Light" w:eastAsia="宋体" w:cs="Times New Roman"/>
          <w:b/>
          <w:bCs/>
          <w:kern w:val="2"/>
          <w:sz w:val="32"/>
          <w:szCs w:val="32"/>
          <w:lang w:val="en-US" w:eastAsia="zh-CN" w:bidi="ar-SA"/>
        </w:rPr>
        <w:t>二、部门概况</w:t>
      </w:r>
    </w:p>
    <w:bookmarkEnd w:id="3"/>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xml:space="preserve"> </w:t>
      </w:r>
      <w:r>
        <w:rPr>
          <w:rFonts w:hint="eastAsia" w:ascii="仿宋_GB2312" w:hAnsi="宋体" w:eastAsia="仿宋_GB2312" w:cs="Times New Roman"/>
          <w:spacing w:val="-2"/>
          <w:kern w:val="2"/>
          <w:sz w:val="32"/>
          <w:szCs w:val="32"/>
          <w:lang w:val="en-US" w:eastAsia="zh-CN" w:bidi="ar-SA"/>
        </w:rPr>
        <w:t xml:space="preserve">  2025年独立编制单位机构数为 1个，财政供养人员编制为 27名，其中行政编制24名，行政工勤编制3名，事业编制0名（其中参照公务员法管理人员编制0人）；2025年实际财政供养人员25人，较上年人数不变（不含退休人员），其中：行政23人，行政工勤2人，事业0人。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rPr>
      </w:pPr>
      <w:r>
        <w:rPr>
          <w:rFonts w:hint="eastAsia" w:asciiTheme="minorEastAsia" w:hAnsiTheme="minorEastAsia" w:eastAsiaTheme="minorEastAsia" w:cstheme="minorEastAsia"/>
          <w:sz w:val="32"/>
          <w:szCs w:val="32"/>
        </w:rPr>
        <w:t>　</w:t>
      </w:r>
      <w:bookmarkStart w:id="4" w:name="_Toc8961"/>
      <w:r>
        <w:rPr>
          <w:rFonts w:hint="eastAsia" w:ascii="Calibri Light" w:hAnsi="Calibri Light" w:eastAsia="宋体" w:cs="Times New Roman"/>
          <w:b/>
          <w:bCs/>
          <w:kern w:val="2"/>
          <w:sz w:val="32"/>
          <w:szCs w:val="32"/>
          <w:lang w:val="en-US" w:eastAsia="zh-CN" w:bidi="ar-SA"/>
        </w:rPr>
        <w:t>三、收支预算情况说明</w:t>
      </w:r>
    </w:p>
    <w:bookmarkEnd w:id="4"/>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按照综合预算的原则，检察院所有收入和支出均纳入部门预算管理。收入包括：一般公共预算拨款收入、上年结转；支出包括：一般公共服务支出、教育支出、社会保障和就业支出、医疗卫生与计划生育支出、住房保障支出。检察院2025年收支总预算620.58万元,比2024年收支预算总数627.20万元，减少6.62万元，主要原因是人员变动工资基数不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w:t>
      </w:r>
      <w:bookmarkStart w:id="5" w:name="_Toc6429"/>
      <w:r>
        <w:rPr>
          <w:rFonts w:hint="eastAsia" w:ascii="楷体" w:hAnsi="楷体" w:eastAsia="楷体" w:cs="楷体"/>
          <w:kern w:val="0"/>
          <w:sz w:val="32"/>
          <w:szCs w:val="32"/>
          <w:lang w:val="en-US" w:eastAsia="zh-CN" w:bidi="ar-SA"/>
        </w:rPr>
        <w:t>（一）收入预算情况。</w:t>
      </w:r>
      <w:bookmarkEnd w:id="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　检察院2025年收入预算620.58万元，其中：上年结转0万元，占100%；一般公共预算拨款收入620.58万元，占100%。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1"/>
          <w:rFonts w:hint="eastAsia"/>
        </w:rPr>
      </w:pPr>
      <w:r>
        <w:rPr>
          <w:rFonts w:hint="eastAsia" w:asciiTheme="minorEastAsia" w:hAnsiTheme="minorEastAsia" w:eastAsiaTheme="minorEastAsia" w:cstheme="minorEastAsia"/>
          <w:sz w:val="32"/>
          <w:szCs w:val="32"/>
        </w:rPr>
        <w:t>　</w:t>
      </w:r>
      <w:bookmarkStart w:id="6" w:name="_Toc21024"/>
      <w:r>
        <w:rPr>
          <w:rStyle w:val="11"/>
          <w:rFonts w:hint="eastAsia"/>
        </w:rPr>
        <w:t>　</w:t>
      </w:r>
      <w:r>
        <w:rPr>
          <w:rFonts w:hint="eastAsia" w:ascii="楷体" w:hAnsi="楷体" w:eastAsia="楷体" w:cs="楷体"/>
          <w:kern w:val="0"/>
          <w:sz w:val="32"/>
          <w:szCs w:val="32"/>
          <w:lang w:val="en-US" w:eastAsia="zh-CN" w:bidi="ar-SA"/>
        </w:rPr>
        <w:t>（二）支出预算情况。</w:t>
      </w:r>
    </w:p>
    <w:bookmarkEnd w:id="6"/>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sz w:val="32"/>
          <w:szCs w:val="32"/>
        </w:rPr>
        <w:t>　　</w:t>
      </w:r>
      <w:r>
        <w:rPr>
          <w:rFonts w:hint="eastAsia" w:ascii="仿宋_GB2312" w:hAnsi="宋体" w:eastAsia="仿宋_GB2312" w:cs="Times New Roman"/>
          <w:spacing w:val="-2"/>
          <w:kern w:val="2"/>
          <w:sz w:val="32"/>
          <w:szCs w:val="32"/>
          <w:lang w:val="en-US" w:eastAsia="zh-CN" w:bidi="ar-SA"/>
        </w:rPr>
        <w:t>检察院2025年支出预算620.58万元，其中：基本支出620.58万元，占100%；项目支出0万元，占0%。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rPr>
      </w:pPr>
      <w:r>
        <w:rPr>
          <w:rFonts w:hint="eastAsia" w:asciiTheme="minorEastAsia" w:hAnsiTheme="minorEastAsia" w:eastAsiaTheme="minorEastAsia" w:cstheme="minorEastAsia"/>
          <w:sz w:val="32"/>
          <w:szCs w:val="32"/>
        </w:rPr>
        <w:t>　</w:t>
      </w:r>
      <w:r>
        <w:rPr>
          <w:rFonts w:hint="eastAsia" w:ascii="Calibri Light" w:hAnsi="Calibri Light" w:eastAsia="宋体" w:cs="Times New Roman"/>
          <w:b/>
          <w:bCs/>
          <w:kern w:val="2"/>
          <w:sz w:val="32"/>
          <w:szCs w:val="32"/>
          <w:lang w:val="en-US" w:eastAsia="zh-CN" w:bidi="ar-SA"/>
        </w:rPr>
        <w:t>　</w:t>
      </w:r>
      <w:bookmarkStart w:id="7" w:name="_Toc27644"/>
      <w:r>
        <w:rPr>
          <w:rFonts w:hint="eastAsia" w:ascii="Calibri Light" w:hAnsi="Calibri Light" w:eastAsia="宋体" w:cs="Times New Roman"/>
          <w:b/>
          <w:bCs/>
          <w:kern w:val="2"/>
          <w:sz w:val="32"/>
          <w:szCs w:val="32"/>
          <w:lang w:val="en-US" w:eastAsia="zh-CN" w:bidi="ar-SA"/>
        </w:rPr>
        <w:t>四、财政拨款收支预算情况说明</w:t>
      </w:r>
    </w:p>
    <w:bookmarkEnd w:id="7"/>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检察院2025年财政拨款收支总预算620.58万元,比2024年财政拨款收支总预算减少6.62万元，主要原因是人员变动工资基数不同。收入包括：本年一般公共预算拨款收入620.58万元、上年结转一般公共预算拨款收入0万元；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支出包括：公共安全支出447.61万元、教育支出0万元、社会保障和就业支出91.65万元、卫生健康支出36.68万元、住房保障支出44.64万元。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8" w:name="_Toc19177"/>
      <w:r>
        <w:rPr>
          <w:rFonts w:hint="eastAsia" w:ascii="Calibri Light" w:hAnsi="Calibri Light" w:eastAsia="宋体" w:cs="Times New Roman"/>
          <w:b/>
          <w:bCs/>
          <w:kern w:val="2"/>
          <w:sz w:val="32"/>
          <w:szCs w:val="32"/>
          <w:lang w:val="en-US" w:eastAsia="zh-CN" w:bidi="ar-SA"/>
        </w:rPr>
        <w:t>五、一般公共预算当年拨款情况说明</w:t>
      </w:r>
    </w:p>
    <w:bookmarkEnd w:id="8"/>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1"/>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Theme="minorEastAsia" w:hAnsiTheme="minorEastAsia" w:eastAsiaTheme="minorEastAsia" w:cstheme="minorEastAsia"/>
          <w:sz w:val="32"/>
          <w:szCs w:val="32"/>
        </w:rPr>
        <w:t>　</w:t>
      </w:r>
      <w:bookmarkStart w:id="9" w:name="_Toc30481"/>
      <w:r>
        <w:rPr>
          <w:rFonts w:hint="eastAsia" w:ascii="楷体" w:hAnsi="楷体" w:eastAsia="楷体" w:cs="楷体"/>
          <w:kern w:val="0"/>
          <w:sz w:val="32"/>
          <w:szCs w:val="32"/>
          <w:lang w:val="en-US" w:eastAsia="zh-CN" w:bidi="ar-SA"/>
        </w:rPr>
        <w:t>（一）一般公共预算当年拨款规模变化情况。</w:t>
      </w:r>
    </w:p>
    <w:bookmarkEnd w:id="9"/>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4"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检察院2025年一般公共预算当年拨款620.58万元，减少6.62万元，主要原因是人员变动工资基数不同。</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Style w:val="11"/>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bookmarkStart w:id="10" w:name="_Toc27778"/>
      <w:r>
        <w:rPr>
          <w:rFonts w:hint="eastAsia" w:ascii="楷体" w:hAnsi="楷体" w:eastAsia="楷体" w:cs="楷体"/>
          <w:kern w:val="0"/>
          <w:sz w:val="32"/>
          <w:szCs w:val="32"/>
          <w:lang w:val="en-US" w:eastAsia="zh-CN" w:bidi="ar-SA"/>
        </w:rPr>
        <w:t>（二）一般公共预算当年拨款结构情况。</w:t>
      </w:r>
    </w:p>
    <w:bookmarkEnd w:id="10"/>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仿宋_GB2312" w:hAnsi="宋体" w:eastAsia="仿宋_GB2312" w:cs="Times New Roman"/>
          <w:spacing w:val="-2"/>
          <w:kern w:val="2"/>
          <w:sz w:val="32"/>
          <w:szCs w:val="32"/>
          <w:lang w:val="en-US" w:eastAsia="zh-CN" w:bidi="ar-SA"/>
        </w:rPr>
        <w:t>公共安全支出447.61万元，占100%；教育支出0万元、占0%；社会保障和就业支出91.65万元，占100%；卫生健康支出36.68万元，占100%；住房保障支出44.64万元，占100%。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　　</w:t>
      </w:r>
      <w:bookmarkStart w:id="11" w:name="_Toc24679"/>
      <w:r>
        <w:rPr>
          <w:rFonts w:hint="eastAsia" w:ascii="楷体" w:hAnsi="楷体" w:eastAsia="楷体" w:cs="楷体"/>
          <w:kern w:val="0"/>
          <w:sz w:val="32"/>
          <w:szCs w:val="32"/>
          <w:lang w:val="en-US" w:eastAsia="zh-CN" w:bidi="ar-SA"/>
        </w:rPr>
        <w:t>（三）一般公共预算当年拨款具体使用情况。</w:t>
      </w:r>
    </w:p>
    <w:bookmarkEnd w:id="11"/>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1.公共安全（204）检察事务（04）行政运行（01）2025年预算数为447.61万元，主要用于：机关单位正常运转的基本支出，包括基本工资、津贴补贴等人员经费以及办公费、印刷费、水电费等日常公用经费。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2.教育（205）进修及培训（08）培训支出（03）2025年预算数为0万元。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3.社会保障和就业（208）行政事业单位离退休（05）机关事业单位基本养老保险缴费支出（05）2025年预算数为61.10万元，主要用于：实施养老保险制度后，部门按规定由单位缴纳的基本养老保险费支出。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4.社会保障和就业（208）行政事业单位离退休（05）机关事业单位职业年金缴费支出（06）2025年预算数为30.55万元，主要用于：实施养老保险制度后，部门按规定由单位缴纳的职业年金支出。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5.医疗卫生与计划生育（210）行政事业单位医疗（11行政单位医疗（01）2025年预算数为26.73万元，主要用于：机关及参公管理事业单位基本医疗保险缴费支出。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6.医疗卫生与计划生育（210）行政事业单位医疗（11）公务员医疗补助（03）2025年预算数9.95万元，主要用于：机关及参公管理事业单位集中缴纳公务员医疗补助支出。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xml:space="preserve">  　7.住房保障（221）住房改革支出（02）住房公积金（01）2025年预算数为44.64万元，主要用于：部门按人力资源和社会保障部、财政部规定的基本工资和津贴补贴以及规定比例为职工缴纳的住房公积金支出。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2" w:name="_Toc573"/>
      <w:r>
        <w:rPr>
          <w:rFonts w:hint="eastAsia" w:ascii="Calibri Light" w:hAnsi="Calibri Light" w:eastAsia="宋体" w:cs="Times New Roman"/>
          <w:b/>
          <w:bCs/>
          <w:kern w:val="2"/>
          <w:sz w:val="32"/>
          <w:szCs w:val="32"/>
          <w:lang w:val="en-US" w:eastAsia="zh-CN" w:bidi="ar-SA"/>
        </w:rPr>
        <w:t>六、一般公共预算基本支出情况说明</w:t>
      </w:r>
    </w:p>
    <w:bookmarkEnd w:id="12"/>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检察院2025一般公共预算基本支出620.58万元，其中：人员经费</w:t>
      </w:r>
      <w:bookmarkStart w:id="24" w:name="_GoBack"/>
      <w:bookmarkEnd w:id="24"/>
      <w:r>
        <w:rPr>
          <w:rFonts w:hint="eastAsia" w:ascii="仿宋_GB2312" w:hAnsi="宋体" w:eastAsia="仿宋_GB2312" w:cs="Times New Roman"/>
          <w:spacing w:val="-2"/>
          <w:kern w:val="2"/>
          <w:sz w:val="32"/>
          <w:szCs w:val="32"/>
          <w:lang w:val="en-US" w:eastAsia="zh-CN" w:bidi="ar-SA"/>
        </w:rPr>
        <w:t>530.65万元，主要包括：基本工资、津贴补贴、奖金、社会保险缴费等支出。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公用经费89.93万元，主要包括：办公费、水费、电费、邮电费、印刷费、差旅费、维修（护）费、劳务费等支出。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　</w:t>
      </w:r>
      <w:bookmarkStart w:id="13" w:name="_Toc30105"/>
      <w:r>
        <w:rPr>
          <w:rFonts w:hint="eastAsia" w:ascii="Calibri Light" w:hAnsi="Calibri Light" w:eastAsia="宋体" w:cs="Times New Roman"/>
          <w:b/>
          <w:bCs/>
          <w:kern w:val="2"/>
          <w:sz w:val="32"/>
          <w:szCs w:val="32"/>
          <w:lang w:val="en-US" w:eastAsia="zh-CN" w:bidi="ar-SA"/>
        </w:rPr>
        <w:t>七、“三公”经费财政拨款预算安排情况说明</w:t>
      </w:r>
    </w:p>
    <w:bookmarkEnd w:id="13"/>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检察院2025年“三公”经费财政拨款预算数23.77万元，其中：因公出国（境）经费0万元，公务接待费1.27万元，公务用车购置及运行维护费22.50万元。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b w:val="0"/>
          <w:bCs w:val="0"/>
          <w:kern w:val="2"/>
          <w:sz w:val="32"/>
          <w:szCs w:val="32"/>
          <w:lang w:val="en-US" w:eastAsia="zh-CN" w:bidi="ar-SA"/>
        </w:rPr>
      </w:pPr>
      <w:r>
        <w:rPr>
          <w:rFonts w:hint="eastAsia"/>
          <w:color w:val="000000" w:themeColor="text1"/>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4" w:name="_Toc23704"/>
      <w:r>
        <w:rPr>
          <w:rFonts w:hint="eastAsia" w:ascii="楷体" w:hAnsi="楷体" w:eastAsia="楷体" w:cs="楷体"/>
          <w:b w:val="0"/>
          <w:bCs w:val="0"/>
          <w:kern w:val="0"/>
          <w:sz w:val="32"/>
          <w:szCs w:val="32"/>
          <w:lang w:val="en-US" w:eastAsia="zh-CN" w:bidi="ar-SA"/>
        </w:rPr>
        <w:t>（一）因公出国（境）经费与2024年预算持平。</w:t>
      </w:r>
      <w:bookmarkEnd w:id="1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b w:val="0"/>
          <w:bCs w:val="0"/>
          <w:kern w:val="2"/>
          <w:sz w:val="32"/>
          <w:szCs w:val="32"/>
          <w:lang w:val="en-US" w:eastAsia="zh-CN" w:bidi="ar-SA"/>
        </w:rPr>
      </w:pPr>
      <w:r>
        <w:rPr>
          <w:rFonts w:hint="eastAsia" w:asciiTheme="minorEastAsia" w:hAnsiTheme="minorEastAsia" w:eastAsiaTheme="minorEastAsia" w:cstheme="minorEastAsia"/>
          <w:b w:val="0"/>
          <w:bCs w:val="0"/>
          <w:kern w:val="2"/>
          <w:sz w:val="32"/>
          <w:szCs w:val="32"/>
          <w:lang w:val="en-US" w:eastAsia="zh-CN" w:bidi="ar-SA"/>
        </w:rPr>
        <w:t>　　2025年因公出国（境）费0万元。全年安排因公出国（境）团组0次，出国（境）0人。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1"/>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15" w:name="_Toc16723"/>
      <w:r>
        <w:rPr>
          <w:rFonts w:hint="eastAsia" w:ascii="楷体" w:hAnsi="楷体" w:eastAsia="楷体" w:cs="楷体"/>
          <w:b w:val="0"/>
          <w:bCs w:val="0"/>
          <w:kern w:val="0"/>
          <w:sz w:val="32"/>
          <w:szCs w:val="32"/>
          <w:lang w:val="en-US" w:eastAsia="zh-CN" w:bidi="ar-SA"/>
        </w:rPr>
        <w:t>（二）公务接待费较2024年预算持平。</w:t>
      </w:r>
    </w:p>
    <w:bookmarkEnd w:id="15"/>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2025年公务接待费计划用于执行公务、考察调研、检查指导等公务活动开支的交通费、住宿费、用餐费等。</w:t>
      </w:r>
    </w:p>
    <w:p>
      <w:pPr>
        <w:pStyle w:val="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r>
        <w:rPr>
          <w:rFonts w:hint="eastAsia" w:asciiTheme="minorEastAsia" w:hAnsiTheme="minorEastAsia" w:eastAsiaTheme="minorEastAsia" w:cstheme="minorEastAsia"/>
          <w:b w:val="0"/>
          <w:bCs w:val="0"/>
          <w:kern w:val="2"/>
          <w:sz w:val="32"/>
          <w:szCs w:val="32"/>
          <w:lang w:val="en-US" w:eastAsia="zh-CN" w:bidi="ar-SA"/>
        </w:rPr>
        <w:t>　</w:t>
      </w:r>
      <w:bookmarkStart w:id="16" w:name="_Toc28456"/>
      <w:r>
        <w:rPr>
          <w:rFonts w:hint="eastAsia" w:ascii="楷体" w:hAnsi="楷体" w:eastAsia="楷体" w:cs="楷体"/>
          <w:b w:val="0"/>
          <w:bCs w:val="0"/>
          <w:kern w:val="0"/>
          <w:sz w:val="32"/>
          <w:szCs w:val="32"/>
          <w:lang w:val="en-US" w:eastAsia="zh-CN" w:bidi="ar-SA"/>
        </w:rPr>
        <w:t>（三）公务用车购置及运行维护费与2024年预算持平</w:t>
      </w:r>
      <w:bookmarkEnd w:id="1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单位现有公务用车5辆，其中：轿车1辆、越野车4辆。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2025年未安排公务用车购置费。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pPr>
      <w:r>
        <w:rPr>
          <w:rFonts w:hint="eastAsia" w:ascii="仿宋_GB2312" w:hAnsi="宋体" w:eastAsia="仿宋_GB2312" w:cs="Times New Roman"/>
          <w:spacing w:val="-2"/>
          <w:kern w:val="2"/>
          <w:sz w:val="32"/>
          <w:szCs w:val="32"/>
          <w:lang w:val="en-US" w:eastAsia="zh-CN" w:bidi="ar-SA"/>
        </w:rPr>
        <w:t>　　2025年安排公务用车运行维护费22.5万元，用于5辆公务用车燃油、过路（桥）、维修、保险等方面支出，主要保障机关单位执法办案、工作调研、脱贫攻坚、工作开展。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Calibri Light" w:hAnsi="Calibri Light" w:eastAsia="宋体" w:cs="Times New Roman"/>
          <w:b/>
          <w:bCs/>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7" w:name="_Toc5639"/>
      <w:r>
        <w:rPr>
          <w:rFonts w:hint="eastAsia" w:ascii="Calibri Light" w:hAnsi="Calibri Light" w:eastAsia="宋体" w:cs="Times New Roman"/>
          <w:b/>
          <w:bCs/>
          <w:kern w:val="2"/>
          <w:sz w:val="32"/>
          <w:szCs w:val="32"/>
          <w:lang w:val="en-US" w:eastAsia="zh-CN" w:bidi="ar-SA"/>
        </w:rPr>
        <w:t>　八、政府性基金预算支出情况说明</w:t>
      </w:r>
    </w:p>
    <w:bookmarkEnd w:id="17"/>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检察院2025年没有使用政府性基金预算拨款安排的支出。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18" w:name="_Toc772"/>
      <w:r>
        <w:rPr>
          <w:rFonts w:hint="eastAsia" w:ascii="Calibri Light" w:hAnsi="Calibri Light" w:eastAsia="宋体" w:cs="Times New Roman"/>
          <w:b/>
          <w:bCs/>
          <w:kern w:val="2"/>
          <w:sz w:val="32"/>
          <w:szCs w:val="32"/>
          <w:lang w:val="en-US" w:eastAsia="zh-CN" w:bidi="ar-SA"/>
        </w:rPr>
        <w:t>九、其他重要事项的情况说明</w:t>
      </w:r>
    </w:p>
    <w:bookmarkEnd w:id="18"/>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楷体" w:hAnsi="楷体" w:eastAsia="楷体" w:cs="楷体"/>
          <w:b w:val="0"/>
          <w:bCs w:val="0"/>
          <w:kern w:val="0"/>
          <w:sz w:val="32"/>
          <w:szCs w:val="32"/>
          <w:lang w:val="en-US" w:eastAsia="zh-CN" w:bidi="ar-SA"/>
        </w:rPr>
        <w:t>　</w:t>
      </w:r>
      <w:bookmarkStart w:id="19" w:name="_Toc32561"/>
      <w:r>
        <w:rPr>
          <w:rFonts w:hint="eastAsia" w:ascii="楷体" w:hAnsi="楷体" w:eastAsia="楷体" w:cs="楷体"/>
          <w:b w:val="0"/>
          <w:bCs w:val="0"/>
          <w:kern w:val="0"/>
          <w:sz w:val="32"/>
          <w:szCs w:val="32"/>
          <w:lang w:val="en-US" w:eastAsia="zh-CN" w:bidi="ar-SA"/>
        </w:rPr>
        <w:t>（一）机关运行经费。</w:t>
      </w:r>
      <w:bookmarkEnd w:id="1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2025年，检察院的机关运行经费财政拨款预算为89.93万元，比2024年增加2.85万元，因我单位有新进人员，且2025年有伙食补助。</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heme="minorEastAsia" w:hAnsiTheme="minorEastAsia" w:eastAsiaTheme="minorEastAsia" w:cstheme="minorEastAsia"/>
          <w:color w:val="000000" w:themeColor="text1"/>
          <w:sz w:val="32"/>
          <w:szCs w:val="32"/>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kern w:val="2"/>
          <w:sz w:val="32"/>
          <w:szCs w:val="32"/>
          <w:lang w:val="en-US" w:eastAsia="zh-CN" w:bidi="ar-SA"/>
        </w:rPr>
        <w:t xml:space="preserve"> </w:t>
      </w:r>
      <w:bookmarkStart w:id="20" w:name="_Toc18797"/>
      <w:r>
        <w:rPr>
          <w:rFonts w:hint="eastAsia" w:ascii="楷体" w:hAnsi="楷体" w:eastAsia="楷体" w:cs="楷体"/>
          <w:b w:val="0"/>
          <w:bCs w:val="0"/>
          <w:kern w:val="0"/>
          <w:sz w:val="32"/>
          <w:szCs w:val="32"/>
          <w:lang w:val="en-US" w:eastAsia="zh-CN" w:bidi="ar-SA"/>
        </w:rPr>
        <w:t>（二）政府采购情况。</w:t>
      </w:r>
      <w:bookmarkEnd w:id="2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2025年，检察院安排政府采购预算0万元，主要用于采购办公设备、公车运行维护、信息化建设运行及维护、物业管理、专项工作委托业务等。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1"/>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1" w:name="_Toc21985"/>
      <w:r>
        <w:rPr>
          <w:rFonts w:hint="eastAsia" w:ascii="楷体" w:hAnsi="楷体" w:eastAsia="楷体" w:cs="楷体"/>
          <w:b w:val="0"/>
          <w:bCs w:val="0"/>
          <w:kern w:val="0"/>
          <w:sz w:val="32"/>
          <w:szCs w:val="32"/>
          <w:lang w:val="en-US" w:eastAsia="zh-CN" w:bidi="ar-SA"/>
        </w:rPr>
        <w:t>（三）国有资产占有使用情况。</w:t>
      </w:r>
    </w:p>
    <w:bookmarkEnd w:id="21"/>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截至2025年底，检察院所属各预算单位共有车辆5辆，其中：一般公务用车5辆；无单价50万元以上通用设备及单价100万元以上专用设备。2024部门预算未安排购置车辆及单位价值200万元以上大型设备。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楷体" w:hAnsi="楷体" w:eastAsia="楷体" w:cs="楷体"/>
          <w:b w:val="0"/>
          <w:bCs w:val="0"/>
          <w:kern w:val="0"/>
          <w:sz w:val="32"/>
          <w:szCs w:val="32"/>
          <w:lang w:val="en-US" w:eastAsia="zh-CN" w:bidi="ar-SA"/>
        </w:rPr>
      </w:pPr>
      <w:r>
        <w:rPr>
          <w:rFonts w:hint="eastAsia" w:ascii="楷体" w:hAnsi="楷体" w:eastAsia="楷体" w:cs="楷体"/>
          <w:b w:val="0"/>
          <w:bCs w:val="0"/>
          <w:kern w:val="0"/>
          <w:sz w:val="32"/>
          <w:szCs w:val="32"/>
          <w:lang w:val="en-US" w:eastAsia="zh-CN" w:bidi="ar-SA"/>
        </w:rPr>
        <w:t>　　</w:t>
      </w:r>
      <w:bookmarkStart w:id="22" w:name="_Toc14528"/>
      <w:r>
        <w:rPr>
          <w:rFonts w:hint="eastAsia" w:ascii="楷体" w:hAnsi="楷体" w:eastAsia="楷体" w:cs="楷体"/>
          <w:b w:val="0"/>
          <w:bCs w:val="0"/>
          <w:kern w:val="0"/>
          <w:sz w:val="32"/>
          <w:szCs w:val="32"/>
          <w:lang w:val="en-US" w:eastAsia="zh-CN" w:bidi="ar-SA"/>
        </w:rPr>
        <w:t>（四）绩效目标设置情况。</w:t>
      </w:r>
      <w:bookmarkEnd w:id="2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宋体" w:hAnsi="宋体" w:eastAsia="仿宋_GB2312" w:cs="宋体"/>
          <w:color w:val="000000" w:themeColor="text1"/>
          <w:spacing w:val="-14"/>
          <w:kern w:val="0"/>
          <w:sz w:val="32"/>
          <w:szCs w:val="32"/>
          <w:lang w:val="en-US" w:eastAsia="zh-CN"/>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绩效目标是预算编制的前提和基础，按照“费随事定”的原则，2025年检察院100万元以上专用项目按要求编制了绩效目标,从项目完成、项目效益、满意度等方面设置了绩效指标，综合反映项目预期完成的数量、成本、时效、质量，预期达到的社会效益、经济效益、生态效益、可持续影响以及服务对象满意度等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Style w:val="10"/>
          <w:rFonts w:hint="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bookmarkStart w:id="23" w:name="_Toc23136"/>
      <w:r>
        <w:rPr>
          <w:rStyle w:val="10"/>
          <w:rFonts w:hint="eastAsia"/>
          <w:color w:val="000000" w:themeColor="text1"/>
          <w14:textFill>
            <w14:solidFill>
              <w14:schemeClr w14:val="tx1"/>
            </w14:solidFill>
          </w14:textFill>
        </w:rPr>
        <w:t>　</w:t>
      </w:r>
      <w:r>
        <w:rPr>
          <w:rFonts w:hint="eastAsia" w:ascii="Calibri Light" w:hAnsi="Calibri Light" w:eastAsia="宋体" w:cs="Times New Roman"/>
          <w:b/>
          <w:bCs/>
          <w:kern w:val="2"/>
          <w:sz w:val="32"/>
          <w:szCs w:val="32"/>
          <w:lang w:val="en-US" w:eastAsia="zh-CN" w:bidi="ar-SA"/>
        </w:rPr>
        <w:t>十、名词解释</w:t>
      </w:r>
    </w:p>
    <w:bookmarkEnd w:id="23"/>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Theme="minorEastAsia" w:hAnsiTheme="minorEastAsia" w:eastAsiaTheme="minorEastAsia" w:cstheme="minorEastAsia"/>
          <w:color w:val="000000" w:themeColor="text1"/>
          <w:sz w:val="32"/>
          <w:szCs w:val="32"/>
          <w14:textFill>
            <w14:solidFill>
              <w14:schemeClr w14:val="tx1"/>
            </w14:solidFill>
          </w14:textFill>
        </w:rPr>
        <w:t>　</w:t>
      </w:r>
      <w:r>
        <w:rPr>
          <w:rFonts w:hint="eastAsia" w:ascii="仿宋_GB2312" w:hAnsi="宋体" w:eastAsia="仿宋_GB2312" w:cs="Times New Roman"/>
          <w:spacing w:val="-2"/>
          <w:kern w:val="2"/>
          <w:sz w:val="32"/>
          <w:szCs w:val="32"/>
          <w:lang w:val="en-US" w:eastAsia="zh-CN" w:bidi="ar-SA"/>
        </w:rPr>
        <w:t>　1.一般公共预算拨款收入：指县级财政当年拨付的资金。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2.上年结转：指以前年度尚未完成，结转到本年仍按原规定用途继续使用的资金。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3.教育（类）进修及培训（款）培训支出（项）：指为配合检察业务开展，用于部门内部在职人员参加相关工作外部培训的经费支出。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4.社会保障和就业（类）行政事业单位离退休（款）机关事业单位基本养老保险缴费支出（项）：指部门实施养老保险制度由单位缴纳的养老保险费的支出。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5.社会保障和就业（类）行政事业单位离退休（款）机关事业单位职业年金缴费支出（项）：指部门实施养老保险制度由单位缴纳的职业年金的支出。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6.医疗卫生与计划生育（类）行政事业单位医疗（款）行政单位医疗（项）：指厅机关及参公管理事业单位用于缴纳单位基本医疗保险支出。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7.医疗卫生与计划生育（类）行政事业单位医疗（款）公务员医疗补助（项）：指厅机关及参公管理事业单位用于集中缴纳公务员医疗补助支出。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8.住房保障（类）住房改革支出（款）住房公积金（项）：指按照《住房公积金管理条例》的规定，由单位及其在职职工缴存的长期住房储金。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9.基本支出：指为保证机构正常运转，完成日常工作任务而发生的人员支出和公用支出。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10.项目支出：指在基本支出之外为完成特定行政任务和事业发展目标所发生的支出。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11.“三公”经费：纳入检察院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宋体" w:eastAsia="仿宋_GB2312" w:cs="Times New Roman"/>
          <w:spacing w:val="-2"/>
          <w:kern w:val="2"/>
          <w:sz w:val="32"/>
          <w:szCs w:val="32"/>
          <w:lang w:val="en-US" w:eastAsia="zh-CN" w:bidi="ar-SA"/>
        </w:rPr>
      </w:pPr>
      <w:r>
        <w:rPr>
          <w:rFonts w:hint="eastAsia" w:ascii="仿宋_GB2312" w:hAnsi="宋体" w:eastAsia="仿宋_GB2312" w:cs="Times New Roman"/>
          <w:spacing w:val="-2"/>
          <w:kern w:val="2"/>
          <w:sz w:val="32"/>
          <w:szCs w:val="32"/>
          <w:lang w:val="en-US" w:eastAsia="zh-CN" w:bidi="ar-SA"/>
        </w:rPr>
        <w:t>　　12.机关运行经费：为保障行政单位（包含参照公务员法管理的事业单位）运行用于购买货物和服务的各项资金。包括办公及办公费、水费、电费、印刷费、邮电费、差旅费、会议费等费用开支。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宋体" w:hAnsi="宋体" w:eastAsia="仿宋_GB2312" w:cs="宋体"/>
          <w:color w:val="000000"/>
          <w:spacing w:val="-14"/>
          <w:kern w:val="0"/>
          <w:sz w:val="32"/>
          <w:szCs w:val="32"/>
          <w:lang w:val="en-US" w:eastAsia="zh-CN"/>
        </w:rPr>
      </w:pPr>
      <w:r>
        <w:rPr>
          <w:rFonts w:hint="eastAsia" w:ascii="宋体" w:hAnsi="宋体" w:eastAsia="仿宋_GB2312" w:cs="宋体"/>
          <w:color w:val="000000"/>
          <w:spacing w:val="-14"/>
          <w:kern w:val="0"/>
          <w:sz w:val="32"/>
          <w:szCs w:val="32"/>
          <w:lang w:val="en-US" w:eastAsia="zh-CN"/>
        </w:rPr>
        <w:t>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1YzUwN2EwMDliNDdkNGI3NjA2MTY4OTBmOTFiYzcifQ=="/>
  </w:docVars>
  <w:rsids>
    <w:rsidRoot w:val="408662CD"/>
    <w:rsid w:val="00027D43"/>
    <w:rsid w:val="010C1467"/>
    <w:rsid w:val="01684705"/>
    <w:rsid w:val="01DD1F40"/>
    <w:rsid w:val="024B33C8"/>
    <w:rsid w:val="02AB73A6"/>
    <w:rsid w:val="02B942DB"/>
    <w:rsid w:val="02E87E1E"/>
    <w:rsid w:val="03362062"/>
    <w:rsid w:val="03534FF0"/>
    <w:rsid w:val="039B59ED"/>
    <w:rsid w:val="03BE19F8"/>
    <w:rsid w:val="03DC683B"/>
    <w:rsid w:val="045948B3"/>
    <w:rsid w:val="05227DDC"/>
    <w:rsid w:val="054B5E9E"/>
    <w:rsid w:val="05594A7F"/>
    <w:rsid w:val="0582576B"/>
    <w:rsid w:val="05902A5E"/>
    <w:rsid w:val="059B5F5A"/>
    <w:rsid w:val="05A74331"/>
    <w:rsid w:val="05AE0D4A"/>
    <w:rsid w:val="06221597"/>
    <w:rsid w:val="067F3B3F"/>
    <w:rsid w:val="06853735"/>
    <w:rsid w:val="06C13F41"/>
    <w:rsid w:val="075827BF"/>
    <w:rsid w:val="07666588"/>
    <w:rsid w:val="079F59E2"/>
    <w:rsid w:val="07E565F2"/>
    <w:rsid w:val="07EE662D"/>
    <w:rsid w:val="082730AF"/>
    <w:rsid w:val="086D60CA"/>
    <w:rsid w:val="08F233D6"/>
    <w:rsid w:val="09D3742B"/>
    <w:rsid w:val="09E638BB"/>
    <w:rsid w:val="0A287A2F"/>
    <w:rsid w:val="0A87657A"/>
    <w:rsid w:val="0A8D0253"/>
    <w:rsid w:val="0AE571C9"/>
    <w:rsid w:val="0B051590"/>
    <w:rsid w:val="0BED1DBE"/>
    <w:rsid w:val="0C100469"/>
    <w:rsid w:val="0CB639A3"/>
    <w:rsid w:val="0CE31457"/>
    <w:rsid w:val="0D363932"/>
    <w:rsid w:val="0D464327"/>
    <w:rsid w:val="0DCA5038"/>
    <w:rsid w:val="0DF457E9"/>
    <w:rsid w:val="0ED85E96"/>
    <w:rsid w:val="0EF8606D"/>
    <w:rsid w:val="0FDF2D71"/>
    <w:rsid w:val="101565F0"/>
    <w:rsid w:val="10262C63"/>
    <w:rsid w:val="105329F1"/>
    <w:rsid w:val="10FE7E05"/>
    <w:rsid w:val="11577D60"/>
    <w:rsid w:val="117652A5"/>
    <w:rsid w:val="11C54896"/>
    <w:rsid w:val="11E66FAF"/>
    <w:rsid w:val="12184031"/>
    <w:rsid w:val="127B42B8"/>
    <w:rsid w:val="12F90AD5"/>
    <w:rsid w:val="1316088D"/>
    <w:rsid w:val="150664AA"/>
    <w:rsid w:val="150D288C"/>
    <w:rsid w:val="16253DD4"/>
    <w:rsid w:val="16323C84"/>
    <w:rsid w:val="166E7112"/>
    <w:rsid w:val="168E2C5C"/>
    <w:rsid w:val="16B15E79"/>
    <w:rsid w:val="170F4610"/>
    <w:rsid w:val="17332E8F"/>
    <w:rsid w:val="173A0C2A"/>
    <w:rsid w:val="17452837"/>
    <w:rsid w:val="176E3045"/>
    <w:rsid w:val="178560F2"/>
    <w:rsid w:val="17892228"/>
    <w:rsid w:val="180B37A4"/>
    <w:rsid w:val="182C063F"/>
    <w:rsid w:val="18BF2A31"/>
    <w:rsid w:val="18D36623"/>
    <w:rsid w:val="18EE23D1"/>
    <w:rsid w:val="194B7296"/>
    <w:rsid w:val="19963CDC"/>
    <w:rsid w:val="1A202C22"/>
    <w:rsid w:val="1B141B5A"/>
    <w:rsid w:val="1BDF498F"/>
    <w:rsid w:val="1C850028"/>
    <w:rsid w:val="1CB416F1"/>
    <w:rsid w:val="1D2F533F"/>
    <w:rsid w:val="1D4D6875"/>
    <w:rsid w:val="1D8D0B09"/>
    <w:rsid w:val="1D902E24"/>
    <w:rsid w:val="1DC51BE5"/>
    <w:rsid w:val="1DF92CB3"/>
    <w:rsid w:val="1E860473"/>
    <w:rsid w:val="1E8C6760"/>
    <w:rsid w:val="1EBA69A2"/>
    <w:rsid w:val="1F4F499C"/>
    <w:rsid w:val="1F51063C"/>
    <w:rsid w:val="1F6C1E41"/>
    <w:rsid w:val="1F6D67AE"/>
    <w:rsid w:val="1F970194"/>
    <w:rsid w:val="1F9D49ED"/>
    <w:rsid w:val="2019726A"/>
    <w:rsid w:val="201B39BD"/>
    <w:rsid w:val="20DD7917"/>
    <w:rsid w:val="20F63E2A"/>
    <w:rsid w:val="20FA4C3B"/>
    <w:rsid w:val="213777FB"/>
    <w:rsid w:val="21647420"/>
    <w:rsid w:val="21A322EC"/>
    <w:rsid w:val="21CF2EE2"/>
    <w:rsid w:val="22835F59"/>
    <w:rsid w:val="22E56D58"/>
    <w:rsid w:val="22E57230"/>
    <w:rsid w:val="22EE03A8"/>
    <w:rsid w:val="23FE7EAD"/>
    <w:rsid w:val="24164E48"/>
    <w:rsid w:val="241B5FEE"/>
    <w:rsid w:val="243B70DB"/>
    <w:rsid w:val="24482FD2"/>
    <w:rsid w:val="24ED7F1C"/>
    <w:rsid w:val="24EE0531"/>
    <w:rsid w:val="255D706E"/>
    <w:rsid w:val="25874DCE"/>
    <w:rsid w:val="25915FA2"/>
    <w:rsid w:val="25D34ED5"/>
    <w:rsid w:val="2619496F"/>
    <w:rsid w:val="263C4D1C"/>
    <w:rsid w:val="26757869"/>
    <w:rsid w:val="26A16AF5"/>
    <w:rsid w:val="26B76D87"/>
    <w:rsid w:val="27373EDE"/>
    <w:rsid w:val="27567E4C"/>
    <w:rsid w:val="27D83CB2"/>
    <w:rsid w:val="27FA209A"/>
    <w:rsid w:val="27FA2922"/>
    <w:rsid w:val="28324CE5"/>
    <w:rsid w:val="287C022F"/>
    <w:rsid w:val="289F7A15"/>
    <w:rsid w:val="28AA4B27"/>
    <w:rsid w:val="291952E1"/>
    <w:rsid w:val="29D77D84"/>
    <w:rsid w:val="29DD031A"/>
    <w:rsid w:val="2AEC3442"/>
    <w:rsid w:val="2B1447DC"/>
    <w:rsid w:val="2BDE6CB9"/>
    <w:rsid w:val="2BE815E4"/>
    <w:rsid w:val="2C66202E"/>
    <w:rsid w:val="2C6B1CD2"/>
    <w:rsid w:val="2CF55A3F"/>
    <w:rsid w:val="2E2B477E"/>
    <w:rsid w:val="2E6F572F"/>
    <w:rsid w:val="2F291501"/>
    <w:rsid w:val="2FC44618"/>
    <w:rsid w:val="2FDD5F1F"/>
    <w:rsid w:val="304B3B2F"/>
    <w:rsid w:val="30C37307"/>
    <w:rsid w:val="31F57445"/>
    <w:rsid w:val="32790E09"/>
    <w:rsid w:val="32A65E16"/>
    <w:rsid w:val="32D12446"/>
    <w:rsid w:val="33947F17"/>
    <w:rsid w:val="3505643A"/>
    <w:rsid w:val="359F6629"/>
    <w:rsid w:val="36B53A84"/>
    <w:rsid w:val="37A26683"/>
    <w:rsid w:val="38772715"/>
    <w:rsid w:val="395A7A5B"/>
    <w:rsid w:val="396E6588"/>
    <w:rsid w:val="39C53054"/>
    <w:rsid w:val="39D97158"/>
    <w:rsid w:val="39EE1BC6"/>
    <w:rsid w:val="39F56A74"/>
    <w:rsid w:val="3B4125A3"/>
    <w:rsid w:val="3B91563D"/>
    <w:rsid w:val="3B9F4FDD"/>
    <w:rsid w:val="3BAF1669"/>
    <w:rsid w:val="3C280154"/>
    <w:rsid w:val="3CC30E0C"/>
    <w:rsid w:val="3CFB336E"/>
    <w:rsid w:val="3D0F3178"/>
    <w:rsid w:val="3D2A3D98"/>
    <w:rsid w:val="3D735ED8"/>
    <w:rsid w:val="3E8C1624"/>
    <w:rsid w:val="3E941BA1"/>
    <w:rsid w:val="40032CC3"/>
    <w:rsid w:val="401640A3"/>
    <w:rsid w:val="402A57DE"/>
    <w:rsid w:val="408662CD"/>
    <w:rsid w:val="40B1757A"/>
    <w:rsid w:val="413E6940"/>
    <w:rsid w:val="414D59F2"/>
    <w:rsid w:val="41F644D0"/>
    <w:rsid w:val="42EB5EC3"/>
    <w:rsid w:val="431467C7"/>
    <w:rsid w:val="434471E0"/>
    <w:rsid w:val="441C5A90"/>
    <w:rsid w:val="44BC06D4"/>
    <w:rsid w:val="44C429C5"/>
    <w:rsid w:val="45EF3658"/>
    <w:rsid w:val="46D97263"/>
    <w:rsid w:val="46FC73BA"/>
    <w:rsid w:val="470D3F8D"/>
    <w:rsid w:val="471106FA"/>
    <w:rsid w:val="47833F1C"/>
    <w:rsid w:val="481405F3"/>
    <w:rsid w:val="487D2FE6"/>
    <w:rsid w:val="489F0ED5"/>
    <w:rsid w:val="48F37844"/>
    <w:rsid w:val="494F1047"/>
    <w:rsid w:val="4963424B"/>
    <w:rsid w:val="49634E0E"/>
    <w:rsid w:val="49C26EF8"/>
    <w:rsid w:val="49CA12B6"/>
    <w:rsid w:val="4A0811EE"/>
    <w:rsid w:val="4A1F5158"/>
    <w:rsid w:val="4A995FFE"/>
    <w:rsid w:val="4B3A240B"/>
    <w:rsid w:val="4BD62EF1"/>
    <w:rsid w:val="4C72626B"/>
    <w:rsid w:val="4D4C5A1B"/>
    <w:rsid w:val="4D891310"/>
    <w:rsid w:val="4D9019D1"/>
    <w:rsid w:val="4DEA1431"/>
    <w:rsid w:val="4DEB5A6B"/>
    <w:rsid w:val="4E3410EA"/>
    <w:rsid w:val="4E66307F"/>
    <w:rsid w:val="4E8F118B"/>
    <w:rsid w:val="4F050F95"/>
    <w:rsid w:val="4F0F5F1E"/>
    <w:rsid w:val="4F1262F8"/>
    <w:rsid w:val="4F327FE3"/>
    <w:rsid w:val="4F4D6324"/>
    <w:rsid w:val="4F5122E8"/>
    <w:rsid w:val="501515C7"/>
    <w:rsid w:val="511D7CBC"/>
    <w:rsid w:val="518D31F8"/>
    <w:rsid w:val="51D01639"/>
    <w:rsid w:val="51DB55D0"/>
    <w:rsid w:val="5259650F"/>
    <w:rsid w:val="52F723A5"/>
    <w:rsid w:val="53D22120"/>
    <w:rsid w:val="54D45F64"/>
    <w:rsid w:val="55E82549"/>
    <w:rsid w:val="56A1558E"/>
    <w:rsid w:val="56BB6390"/>
    <w:rsid w:val="56C23191"/>
    <w:rsid w:val="5737087F"/>
    <w:rsid w:val="584077AC"/>
    <w:rsid w:val="590A3001"/>
    <w:rsid w:val="59251F94"/>
    <w:rsid w:val="592933E7"/>
    <w:rsid w:val="59E336C7"/>
    <w:rsid w:val="5A03420A"/>
    <w:rsid w:val="5A08483B"/>
    <w:rsid w:val="5A0A67C5"/>
    <w:rsid w:val="5A3432D9"/>
    <w:rsid w:val="5A440B0A"/>
    <w:rsid w:val="5AA2768A"/>
    <w:rsid w:val="5AB17508"/>
    <w:rsid w:val="5B0E1143"/>
    <w:rsid w:val="5B7F3BF5"/>
    <w:rsid w:val="5BA65FD3"/>
    <w:rsid w:val="5C3A0E10"/>
    <w:rsid w:val="5C4A1B73"/>
    <w:rsid w:val="5C8B70C6"/>
    <w:rsid w:val="5CE12115"/>
    <w:rsid w:val="5E341CA6"/>
    <w:rsid w:val="5E7111EE"/>
    <w:rsid w:val="5E73292B"/>
    <w:rsid w:val="5F237AD7"/>
    <w:rsid w:val="600B0477"/>
    <w:rsid w:val="604F73F9"/>
    <w:rsid w:val="62017C37"/>
    <w:rsid w:val="6205222A"/>
    <w:rsid w:val="624B2939"/>
    <w:rsid w:val="629E17B2"/>
    <w:rsid w:val="632B5A05"/>
    <w:rsid w:val="63CF3877"/>
    <w:rsid w:val="6494340C"/>
    <w:rsid w:val="649874A0"/>
    <w:rsid w:val="64AE1B9F"/>
    <w:rsid w:val="65601775"/>
    <w:rsid w:val="657A5C8C"/>
    <w:rsid w:val="662D5ABA"/>
    <w:rsid w:val="668804DC"/>
    <w:rsid w:val="66B9305E"/>
    <w:rsid w:val="66E225B5"/>
    <w:rsid w:val="670A1A2C"/>
    <w:rsid w:val="67584E8C"/>
    <w:rsid w:val="678B4892"/>
    <w:rsid w:val="67937F5D"/>
    <w:rsid w:val="67CE4DCE"/>
    <w:rsid w:val="67F73145"/>
    <w:rsid w:val="688A4937"/>
    <w:rsid w:val="68A12D0E"/>
    <w:rsid w:val="6943700B"/>
    <w:rsid w:val="6974636B"/>
    <w:rsid w:val="69A80082"/>
    <w:rsid w:val="69C57602"/>
    <w:rsid w:val="69DA676B"/>
    <w:rsid w:val="69E71E1E"/>
    <w:rsid w:val="6A081F73"/>
    <w:rsid w:val="6AA638B5"/>
    <w:rsid w:val="6B82303B"/>
    <w:rsid w:val="6BB36898"/>
    <w:rsid w:val="6BF52F47"/>
    <w:rsid w:val="6C0B1E81"/>
    <w:rsid w:val="6D191A91"/>
    <w:rsid w:val="6D6C135B"/>
    <w:rsid w:val="6D804303"/>
    <w:rsid w:val="6D981FB9"/>
    <w:rsid w:val="6DE1634E"/>
    <w:rsid w:val="6E314FDA"/>
    <w:rsid w:val="6EC3578C"/>
    <w:rsid w:val="6EC8567D"/>
    <w:rsid w:val="6EFB1F3B"/>
    <w:rsid w:val="6F1C22DB"/>
    <w:rsid w:val="6F727C17"/>
    <w:rsid w:val="6F7B3FA3"/>
    <w:rsid w:val="6F971E4B"/>
    <w:rsid w:val="704C3AAE"/>
    <w:rsid w:val="713C78F4"/>
    <w:rsid w:val="713E5576"/>
    <w:rsid w:val="71716F03"/>
    <w:rsid w:val="71852264"/>
    <w:rsid w:val="71E84C17"/>
    <w:rsid w:val="727B5DB6"/>
    <w:rsid w:val="72AA02A4"/>
    <w:rsid w:val="72C8733F"/>
    <w:rsid w:val="73547E87"/>
    <w:rsid w:val="738212FC"/>
    <w:rsid w:val="74AD72E7"/>
    <w:rsid w:val="74DB07BA"/>
    <w:rsid w:val="74F05590"/>
    <w:rsid w:val="754169C0"/>
    <w:rsid w:val="756D508A"/>
    <w:rsid w:val="75834878"/>
    <w:rsid w:val="75944B37"/>
    <w:rsid w:val="765149B5"/>
    <w:rsid w:val="76B232E0"/>
    <w:rsid w:val="77154A3E"/>
    <w:rsid w:val="771A4B4E"/>
    <w:rsid w:val="77E572AF"/>
    <w:rsid w:val="78EE2F0B"/>
    <w:rsid w:val="79925E88"/>
    <w:rsid w:val="79F81C8C"/>
    <w:rsid w:val="7A5316B8"/>
    <w:rsid w:val="7A646B66"/>
    <w:rsid w:val="7AA605D7"/>
    <w:rsid w:val="7B302F28"/>
    <w:rsid w:val="7B560A24"/>
    <w:rsid w:val="7B6201C7"/>
    <w:rsid w:val="7BC93492"/>
    <w:rsid w:val="7BD37801"/>
    <w:rsid w:val="7BE300B4"/>
    <w:rsid w:val="7C2F7066"/>
    <w:rsid w:val="7C482A62"/>
    <w:rsid w:val="7CC258AE"/>
    <w:rsid w:val="7D590BD7"/>
    <w:rsid w:val="7D934252"/>
    <w:rsid w:val="7DBA173E"/>
    <w:rsid w:val="7E484985"/>
    <w:rsid w:val="7E581FB7"/>
    <w:rsid w:val="7E71734F"/>
    <w:rsid w:val="7ED66644"/>
    <w:rsid w:val="7FCA5288"/>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0"/>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11"/>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5">
    <w:name w:val="Body Text"/>
    <w:basedOn w:val="1"/>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character" w:customStyle="1" w:styleId="10">
    <w:name w:val="标题 1 Char"/>
    <w:basedOn w:val="8"/>
    <w:link w:val="3"/>
    <w:qFormat/>
    <w:uiPriority w:val="9"/>
    <w:rPr>
      <w:rFonts w:eastAsia="宋体"/>
      <w:b/>
      <w:bCs/>
      <w:kern w:val="44"/>
      <w:sz w:val="44"/>
      <w:szCs w:val="44"/>
    </w:rPr>
  </w:style>
  <w:style w:type="character" w:customStyle="1" w:styleId="11">
    <w:name w:val="标题 2 Char"/>
    <w:basedOn w:val="8"/>
    <w:link w:val="4"/>
    <w:qFormat/>
    <w:uiPriority w:val="9"/>
    <w:rPr>
      <w:rFonts w:ascii="Calibri Light" w:hAnsi="Calibri Light" w:eastAsia="宋体" w:cs="Times New Roman"/>
      <w:b/>
      <w:bCs/>
      <w:sz w:val="32"/>
      <w:szCs w:val="32"/>
    </w:rPr>
  </w:style>
  <w:style w:type="paragraph" w:customStyle="1" w:styleId="12">
    <w:name w:val="List Paragraph"/>
    <w:basedOn w:val="1"/>
    <w:qFormat/>
    <w:uiPriority w:val="99"/>
    <w:pPr>
      <w:ind w:firstLine="420" w:firstLineChars="200"/>
    </w:p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3797</Words>
  <Characters>4160</Characters>
  <Lines>0</Lines>
  <Paragraphs>0</Paragraphs>
  <ScaleCrop>false</ScaleCrop>
  <LinksUpToDate>false</LinksUpToDate>
  <CharactersWithSpaces>4318</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2022-03-08T03:48:00Z</dcterms:created>
  <dc:creator>Administrator</dc:creator>
  <cp:lastModifiedBy>Administrator</cp:lastModifiedBy>
  <cp:lastPrinted>2023-03-29T08:07:00Z</cp:lastPrinted>
  <dcterms:modified xsi:type="dcterms:W3CDTF">2025-02-19T07:57:30Z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y fmtid="{D5CDD505-2E9C-101B-9397-08002B2CF9AE}" pid="3" name="ICV">
    <vt:lpwstr>60645F8296264411B5BC22C4A0588573</vt:lpwstr>
  </property>
</Properties>
</file>