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spacing w:line="576" w:lineRule="exact"/>
        <w:jc w:val="center"/>
        <w:rPr>
          <w:rFonts w:ascii="方正小标宋_GBK" w:eastAsia="方正小标宋_GBK" w:hint="eastAsia"/>
          <w:sz w:val="44"/>
          <w:szCs w:val="44"/>
          <w:shd w:val="clear" w:color="auto" w:fill="auto"/>
        </w:rPr>
      </w:pPr>
      <w:r>
        <w:rPr>
          <w:rFonts w:ascii="方正小标宋_GBK" w:eastAsia="方正小标宋_GBK"/>
          <w:sz w:val="44"/>
          <w:szCs w:val="44"/>
          <w:shd w:val="clear" w:color="auto" w:fill="auto"/>
        </w:rPr>
        <w:t>阿坝州涉藏事务研究中心</w:t>
      </w:r>
    </w:p>
    <w:p>
      <w:pPr>
        <w:spacing w:line="576" w:lineRule="exact"/>
        <w:jc w:val="center"/>
        <w:rPr>
          <w:rFonts w:ascii="方正小标宋_GBK" w:eastAsia="方正小标宋_GBK" w:hint="eastAsia"/>
          <w:sz w:val="44"/>
          <w:szCs w:val="44"/>
          <w:shd w:val="clear" w:color="auto" w:fill="auto"/>
        </w:rPr>
      </w:pPr>
      <w:r>
        <w:rPr>
          <w:rFonts w:ascii="方正小标宋_GBK" w:eastAsia="方正小标宋_GBK" w:hint="eastAsia"/>
          <w:sz w:val="44"/>
          <w:szCs w:val="44"/>
          <w:shd w:val="clear" w:color="auto" w:fill="auto"/>
        </w:rPr>
        <w:t>2022年部门预算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hint="eastAsia"/>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spacing w:line="576" w:lineRule="exact"/>
        <w:ind w:firstLineChars="600" w:firstLine="3120"/>
        <w:rPr>
          <w:rFonts w:ascii="黑体" w:eastAsia="黑体"/>
          <w:sz w:val="52"/>
          <w:szCs w:val="52"/>
        </w:rPr>
      </w:pPr>
      <w:r>
        <w:rPr>
          <w:rFonts w:ascii="黑体" w:eastAsia="黑体" w:hint="eastAsia"/>
          <w:sz w:val="52"/>
          <w:szCs w:val="52"/>
        </w:rPr>
        <w:t>目录</w:t>
      </w:r>
    </w:p>
    <w:p>
      <w:pPr>
        <w:spacing w:line="576" w:lineRule="exact"/>
        <w:ind w:firstLineChars="700" w:firstLine="3080"/>
        <w:rPr>
          <w:rFonts w:ascii="黑体" w:eastAsia="黑体"/>
          <w:sz w:val="44"/>
          <w:szCs w:val="44"/>
        </w:rPr>
      </w:pPr>
    </w:p>
    <w:p>
      <w:pPr>
        <w:pStyle w:val="17"/>
        <w:spacing w:line="576" w:lineRule="exact"/>
        <w:ind w:firstLineChars="0" w:firstLine="0"/>
        <w:rPr>
          <w:rFonts w:ascii="黑体" w:eastAsia="黑体"/>
          <w:sz w:val="32"/>
          <w:szCs w:val="32"/>
        </w:rPr>
      </w:pPr>
      <w:r>
        <w:rPr>
          <w:rFonts w:ascii="黑体" w:eastAsia="黑体" w:hint="eastAsia"/>
          <w:sz w:val="32"/>
          <w:szCs w:val="32"/>
        </w:rPr>
        <w:t>一、基本职能及主要工作</w:t>
      </w:r>
    </w:p>
    <w:p>
      <w:pPr>
        <w:spacing w:line="576" w:lineRule="exact"/>
        <w:rPr>
          <w:rFonts w:ascii="黑体" w:eastAsia="黑体"/>
          <w:sz w:val="32"/>
          <w:szCs w:val="32"/>
        </w:rPr>
      </w:pPr>
      <w:r>
        <w:rPr>
          <w:rFonts w:ascii="黑体" w:eastAsia="黑体" w:hint="eastAsia"/>
          <w:sz w:val="32"/>
          <w:szCs w:val="32"/>
        </w:rPr>
        <w:t>二、部门预算单位构成</w:t>
      </w:r>
    </w:p>
    <w:p>
      <w:pPr>
        <w:spacing w:line="576" w:lineRule="exact"/>
        <w:rPr>
          <w:rFonts w:ascii="黑体" w:eastAsia="黑体"/>
          <w:sz w:val="32"/>
          <w:szCs w:val="32"/>
        </w:rPr>
      </w:pPr>
      <w:r>
        <w:rPr>
          <w:rFonts w:ascii="黑体" w:eastAsia="黑体" w:hint="eastAsia"/>
          <w:sz w:val="32"/>
          <w:szCs w:val="32"/>
        </w:rPr>
        <w:t>三、收支预算情况说明</w:t>
      </w:r>
    </w:p>
    <w:p>
      <w:pPr>
        <w:spacing w:line="576" w:lineRule="exact"/>
        <w:rPr>
          <w:rFonts w:ascii="仿宋_GB2312" w:eastAsia="仿宋_GB2312"/>
          <w:sz w:val="32"/>
          <w:szCs w:val="32"/>
        </w:rPr>
      </w:pPr>
      <w:r>
        <w:rPr>
          <w:rFonts w:ascii="黑体" w:eastAsia="黑体" w:hint="eastAsia"/>
          <w:sz w:val="32"/>
          <w:szCs w:val="32"/>
        </w:rPr>
        <w:t>（</w:t>
      </w:r>
      <w:r>
        <w:rPr>
          <w:rFonts w:ascii="仿宋_GB2312" w:eastAsia="仿宋_GB2312" w:hint="eastAsia"/>
          <w:sz w:val="32"/>
          <w:szCs w:val="32"/>
        </w:rPr>
        <w:t>一）收入预算情况</w:t>
      </w:r>
    </w:p>
    <w:p>
      <w:pPr>
        <w:spacing w:line="576" w:lineRule="exact"/>
        <w:rPr>
          <w:rFonts w:ascii="仿宋_GB2312" w:eastAsia="仿宋_GB2312"/>
          <w:sz w:val="32"/>
          <w:szCs w:val="32"/>
        </w:rPr>
      </w:pPr>
      <w:r>
        <w:rPr>
          <w:rFonts w:ascii="仿宋_GB2312" w:eastAsia="仿宋_GB2312" w:hint="eastAsia"/>
          <w:sz w:val="32"/>
          <w:szCs w:val="32"/>
        </w:rPr>
        <w:t>（二）支出预算情况</w:t>
      </w:r>
    </w:p>
    <w:p>
      <w:pPr>
        <w:spacing w:line="576" w:lineRule="exact"/>
        <w:rPr>
          <w:rFonts w:ascii="黑体" w:eastAsia="黑体"/>
          <w:sz w:val="32"/>
          <w:szCs w:val="32"/>
        </w:rPr>
      </w:pPr>
      <w:r>
        <w:rPr>
          <w:rFonts w:ascii="黑体" w:eastAsia="黑体" w:hint="eastAsia"/>
          <w:sz w:val="32"/>
          <w:szCs w:val="32"/>
        </w:rPr>
        <w:t>四、财政拨款收支预算情况说明</w:t>
      </w:r>
    </w:p>
    <w:p>
      <w:pPr>
        <w:spacing w:line="576" w:lineRule="exact"/>
        <w:rPr>
          <w:rFonts w:ascii="黑体" w:eastAsia="黑体"/>
          <w:sz w:val="32"/>
          <w:szCs w:val="32"/>
        </w:rPr>
      </w:pPr>
      <w:r>
        <w:rPr>
          <w:rFonts w:ascii="黑体" w:eastAsia="黑体" w:hint="eastAsia"/>
          <w:sz w:val="32"/>
          <w:szCs w:val="32"/>
        </w:rPr>
        <w:t>五、一般公共预算当年拨款情况说明</w:t>
      </w:r>
    </w:p>
    <w:p>
      <w:pPr>
        <w:spacing w:line="576" w:lineRule="exact"/>
        <w:rPr>
          <w:rFonts w:ascii="黑体" w:eastAsia="黑体"/>
          <w:sz w:val="32"/>
          <w:szCs w:val="32"/>
        </w:rPr>
      </w:pPr>
      <w:r>
        <w:rPr>
          <w:rFonts w:ascii="仿宋_GB2312" w:eastAsia="仿宋_GB2312" w:hint="eastAsia"/>
          <w:sz w:val="32"/>
          <w:szCs w:val="32"/>
        </w:rPr>
        <w:t>（一）一般公共预算当年拨款规模变化情况</w:t>
      </w:r>
      <w:r>
        <w:rPr>
          <w:rFonts w:ascii="仿宋_GB2312" w:eastAsia="仿宋_GB2312"/>
          <w:sz w:val="32"/>
          <w:szCs w:val="32"/>
        </w:rPr>
        <w:br/>
      </w:r>
      <w:r>
        <w:rPr>
          <w:rFonts w:ascii="仿宋_GB2312" w:eastAsia="仿宋_GB2312" w:hint="eastAsia"/>
          <w:sz w:val="32"/>
          <w:szCs w:val="32"/>
        </w:rPr>
        <w:t>（二）一般公共预算当年拨款结构情况</w:t>
      </w:r>
      <w:r>
        <w:rPr>
          <w:rFonts w:ascii="仿宋_GB2312" w:eastAsia="仿宋_GB2312"/>
          <w:sz w:val="32"/>
          <w:szCs w:val="32"/>
        </w:rPr>
        <w:br/>
      </w:r>
      <w:r>
        <w:rPr>
          <w:rFonts w:ascii="仿宋_GB2312" w:eastAsia="仿宋_GB2312" w:hint="eastAsia"/>
          <w:sz w:val="32"/>
          <w:szCs w:val="32"/>
        </w:rPr>
        <w:t>（三）一般公共预算当年拨款具体使用情况</w:t>
      </w:r>
      <w:r>
        <w:rPr>
          <w:rFonts w:ascii="??" w:cs="宋体" w:hAnsi="??"/>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spacing w:line="576" w:lineRule="exact"/>
        <w:rPr>
          <w:rFonts w:ascii="黑体" w:eastAsia="黑体"/>
          <w:sz w:val="32"/>
          <w:szCs w:val="32"/>
        </w:rPr>
      </w:pPr>
    </w:p>
    <w:p>
      <w:pPr>
        <w:widowControl/>
        <w:shd w:val="clear" w:color="auto" w:fill="FFFFFF"/>
        <w:spacing w:before="100" w:after="100" w:line="576" w:lineRule="exact"/>
        <w:ind w:right="300"/>
        <w:jc w:val="left"/>
        <w:rPr>
          <w:rFonts w:ascii="??" w:cs="宋体" w:hAnsi="??"/>
          <w:kern w:val="0"/>
          <w:sz w:val="12"/>
          <w:szCs w:val="12"/>
        </w:rPr>
      </w:pPr>
    </w:p>
    <w:p>
      <w:pPr>
        <w:pStyle w:val="17"/>
        <w:spacing w:line="576" w:lineRule="exact"/>
        <w:ind w:firstLineChars="200" w:firstLine="640"/>
        <w:rPr>
          <w:rFonts w:ascii="Times New Roman" w:eastAsia="黑体" w:hAnsi="Times New Roman"/>
          <w:sz w:val="32"/>
          <w:szCs w:val="32"/>
          <w:shd w:val="clear" w:color="auto" w:fill="auto"/>
        </w:rPr>
      </w:pPr>
    </w:p>
    <w:p>
      <w:pPr>
        <w:pStyle w:val="17"/>
        <w:keepNext w:val="0"/>
        <w:widowControl w:val="0"/>
        <w:spacing w:line="576" w:lineRule="exact"/>
        <w:ind w:firstLineChars="200" w:firstLine="640"/>
        <w:rPr>
          <w:rFonts w:ascii="Times New Roman" w:eastAsia="黑体" w:hAnsi="Times New Roman"/>
          <w:sz w:val="32"/>
          <w:szCs w:val="32"/>
          <w:shd w:val="clear" w:color="auto" w:fill="auto"/>
        </w:rPr>
        <w:sectPr>
          <w:headerReference w:type="default" r:id="rId2"/>
          <w:footerReference w:type="default" r:id="rId3"/>
          <w:footerReference w:type="even" r:id="rId4"/>
          <w:pgSz w:w="11906" w:h="16838"/>
          <w:pgMar w:top="1440" w:right="1800" w:bottom="1440" w:left="1800" w:header="851" w:footer="992" w:gutter="0"/>
          <w:docGrid w:type="lines" w:linePitch="312" w:charSpace="0"/>
        </w:sectPr>
      </w:pP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一、基本职能及主要工作</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贯彻落实中央、省委和州委涉藏工作决策部署，开展涉藏事务研究工作。</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二、部门预算单位构成</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州涉藏事务研究中心属一级预算单位。州涉藏事务研究中心为2021年新成立单位，2021年无预算。</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三、收支预算情况说明</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按照综合预算的原则，州涉藏事务研究中心所有收入和支出均纳入部门预算管理。收入包括：一般公共预算拨款收入175.58万元；支出包括：一般公共服务支出145.42万元，社会保障和就业支出23.73万元，医疗卫生与计划生育支出2.01万元，住房保障支出4.42万元。</w:t>
      </w:r>
      <w:bookmarkStart w:id="0" w:name="_GoBack"/>
      <w:bookmarkEnd w:id="0"/>
    </w:p>
    <w:p>
      <w:pPr>
        <w:spacing w:line="576" w:lineRule="exact"/>
        <w:ind w:firstLineChars="200" w:firstLine="640"/>
        <w:rPr>
          <w:rFonts w:ascii="Times New Roman" w:eastAsia="楷体_GB2312" w:hAnsi="Times New Roman"/>
          <w:b/>
          <w:sz w:val="32"/>
          <w:szCs w:val="32"/>
          <w:shd w:val="clear" w:color="auto" w:fill="auto"/>
        </w:rPr>
      </w:pPr>
      <w:r>
        <w:rPr>
          <w:rFonts w:ascii="Times New Roman" w:eastAsia="楷体_GB2312" w:hAnsi="Times New Roman"/>
          <w:b/>
          <w:sz w:val="32"/>
          <w:szCs w:val="32"/>
          <w:shd w:val="clear" w:color="auto" w:fill="auto"/>
        </w:rPr>
        <w:t>（一）收入预算情况</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州涉藏事务研究中心2022年收入预算175.58万元，其中：一般公共预算拨款收入175.58万元，占100%；无其他收入。</w:t>
      </w:r>
    </w:p>
    <w:p>
      <w:pPr>
        <w:spacing w:line="576" w:lineRule="exact"/>
        <w:ind w:firstLineChars="200" w:firstLine="640"/>
        <w:rPr>
          <w:rFonts w:ascii="Times New Roman" w:eastAsia="楷体_GB2312" w:hAnsi="Times New Roman"/>
          <w:b/>
          <w:sz w:val="32"/>
          <w:szCs w:val="32"/>
          <w:shd w:val="clear" w:color="auto" w:fill="auto"/>
        </w:rPr>
      </w:pPr>
      <w:r>
        <w:rPr>
          <w:rFonts w:ascii="Times New Roman" w:eastAsia="楷体_GB2312" w:hAnsi="Times New Roman"/>
          <w:b/>
          <w:sz w:val="32"/>
          <w:szCs w:val="32"/>
          <w:shd w:val="clear" w:color="auto" w:fill="auto"/>
        </w:rPr>
        <w:t>（二）支出预算情况</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州涉藏事务研究中心2022年支出预算175.58万元，其中：基本支出71.58万元，占40.77%；项目支出104万元，占59.23%。</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四、财政拨款收支预算情况说明</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州涉藏事务研究中心2022年财政拨款收支总预算175.58万元。</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收入包括：本年一般公共预算拨款收入175.58万元。</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支出包括：一般公共服务支出145.42万元，社会保障和就业支出23.73万元，医疗卫生与计划生育支出2.01万元，住房保障支出4.42万元。</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五、一般公共预算当年拨款情况说明</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（一）一般公共预算当年拨款规模变化情况</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州涉藏事务研究中心2022年一般公共预算当年拨款</w:t>
      </w:r>
      <w:r>
        <w:rPr>
          <w:rFonts w:ascii="Times New Roman" w:eastAsia="仿宋_GB2312" w:hAnsi="Times New Roman"/>
          <w:sz w:val="32"/>
          <w:szCs w:val="32"/>
        </w:rPr>
        <w:t>175.58</w:t>
      </w:r>
      <w:r>
        <w:rPr>
          <w:rStyle w:val="0"/>
          <w:rFonts w:ascii="Times New Roman" w:eastAsia="仿宋_GB2312" w:hAnsi="Times New Roman"/>
          <w:sz w:val="32"/>
          <w:szCs w:val="32"/>
        </w:rPr>
        <w:t>万元。</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（二）一般公共预算当年拨款结构情况</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一般公共服务支出145.42万元，占82.82%；社会保障和就业支出23.73万元，占13.52%；医疗卫生与计划生育支出2.01万元，占1.14%；住房保障支出4.42万元，占2.52%。</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（三）一般公共预算当年拨款具体使用情况</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1．一般公共服务支出</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事业运行，2022年预算数为41.42元，主要用于：工资福利支出26.06万元；商品和服务支出15.36万元。</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专项业务，2022年预算数为104元，主要用于：商品和服务支出60万元，资本性支出44万元。</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2.社会保障和就业支出</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2022年机关事业单位基本养老保险缴费支出预算数为16.95万元，主要用于缴纳干部职工2022年基本养老保险。</w:t>
      </w:r>
    </w:p>
    <w:p>
      <w:pPr>
        <w:spacing w:line="576"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2022年机关事业单位职业年金缴费支出预算数为6.78万元，主要用于缴纳干部职工2022年职业年金。</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3.卫生健康支出</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事业单位医疗，2022年预算数为1.64万元，主要用于缴纳干部职工基本医疗保险缴费1.64万元。</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其他行政事业单位医疗支出，2022年预算数为0.37万元，主要用于缴纳事业人员医疗补助费0.37万元。</w:t>
      </w:r>
    </w:p>
    <w:p>
      <w:pPr>
        <w:spacing w:line="576" w:lineRule="exact"/>
        <w:ind w:firstLineChars="200" w:firstLine="640"/>
        <w:rPr>
          <w:rFonts w:ascii="Times New Roman" w:eastAsia="方正仿宋_GBK" w:hAnsi="Times New Roman"/>
          <w:b/>
          <w:bCs/>
          <w:sz w:val="32"/>
          <w:szCs w:val="32"/>
        </w:rPr>
      </w:pPr>
      <w:r>
        <w:rPr>
          <w:rFonts w:ascii="Times New Roman" w:eastAsia="方正仿宋_GBK" w:hAnsi="Times New Roman"/>
          <w:b/>
          <w:bCs/>
          <w:sz w:val="32"/>
          <w:szCs w:val="32"/>
        </w:rPr>
        <w:t>4.住房保障支出</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2022年住房公积金预算数为4.42万元，主要用于缴纳干部职工2022年住房公积金。</w:t>
      </w:r>
    </w:p>
    <w:p>
      <w:pPr>
        <w:pStyle w:val="17"/>
        <w:spacing w:line="576" w:lineRule="exact"/>
        <w:ind w:firstLineChars="200" w:firstLine="640"/>
        <w:rPr>
          <w:rFonts w:ascii="Times New Roman" w:eastAsia="黑体" w:hAnsi="Times New Roman"/>
          <w:sz w:val="32"/>
          <w:szCs w:val="32"/>
          <w:shd w:val="clear" w:color="auto" w:fill="auto"/>
        </w:rPr>
      </w:pPr>
      <w:r>
        <w:rPr>
          <w:rFonts w:ascii="Times New Roman" w:eastAsia="黑体" w:hAnsi="Times New Roman"/>
          <w:sz w:val="32"/>
          <w:szCs w:val="32"/>
          <w:shd w:val="clear" w:color="auto" w:fill="auto"/>
        </w:rPr>
        <w:t>六、一般公共预算基本支出情况说明</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州涉藏事务研究中心2022年一般公共预算基本支出71.58万元，其中：人员经费56.22万元，主要包括：基本工资、津贴补贴、奖金、其他社会保障缴费、绩效工资、机关事业单位基本养老保险缴费、职业年金缴费、其他工资福利支出、奖励金、住房公积金、其他对个人和家庭的补助支出。</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公用经费15.36万元，主要包括：办公费、印刷费、手续费、水费、电费、邮电费、差旅费、维修（护）费、租赁费、会议费、培训费、劳务费、工会经费、福利费、其他交通工具运行维护费、其他商品和服务支出。</w:t>
      </w:r>
    </w:p>
    <w:p>
      <w:pPr>
        <w:pStyle w:val="18"/>
        <w:spacing w:before="0" w:line="576" w:lineRule="exact"/>
        <w:ind w:firstLineChars="200" w:firstLine="640"/>
        <w:rPr>
          <w:rFonts w:ascii="Times New Roman" w:eastAsia="黑体" w:hAnsi="Times New Roman"/>
          <w:sz w:val="32"/>
          <w:szCs w:val="32"/>
        </w:rPr>
      </w:pPr>
      <w:r>
        <w:rPr>
          <w:rFonts w:ascii="Times New Roman" w:eastAsia="黑体" w:hAnsi="Times New Roman"/>
          <w:kern w:val="2"/>
          <w:sz w:val="32"/>
          <w:szCs w:val="32"/>
          <w:shd w:val="clear" w:color="auto" w:fill="auto"/>
        </w:rPr>
        <w:t>七、“三公”经费财政拨款预算安排情况说明</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州涉藏事务研究中心2022年“三公”经费财政拨款预算数7.48万元，其中：因公出国（境）经费0万元，公务接待费0.28万元，公务用车购置及运行维护费7.2万元。</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（一）2022年因公出国（境）经费0万元。</w:t>
      </w:r>
    </w:p>
    <w:p>
      <w:pPr>
        <w:pStyle w:val="18"/>
        <w:spacing w:before="0" w:line="576" w:lineRule="exact"/>
        <w:ind w:firstLineChars="200" w:firstLine="640"/>
        <w:rPr>
          <w:rFonts w:ascii="Times New Roman" w:eastAsia="方正仿宋_GBK" w:hAnsi="Times New Roman"/>
          <w:sz w:val="32"/>
          <w:szCs w:val="32"/>
        </w:rPr>
      </w:pPr>
      <w:r>
        <w:rPr>
          <w:rFonts w:ascii="Times New Roman" w:hAnsi="Times New Roman"/>
          <w:kern w:val="2"/>
          <w:sz w:val="32"/>
          <w:szCs w:val="32"/>
        </w:rPr>
        <w:t>（二）2022年公务接待经费0.28万元。</w:t>
        <w:br/>
        <w:t>　　（三）2022年公务用车购置及运行维护费7.2万元。</w:t>
      </w:r>
    </w:p>
    <w:p>
      <w:pPr>
        <w:pStyle w:val="18"/>
        <w:spacing w:before="0" w:line="576" w:lineRule="exact"/>
        <w:ind w:firstLineChars="200" w:firstLine="640"/>
        <w:rPr>
          <w:rFonts w:ascii="Times New Roman" w:eastAsia="黑体" w:hAnsi="Times New Roman"/>
          <w:kern w:val="2"/>
          <w:sz w:val="32"/>
          <w:szCs w:val="32"/>
          <w:shd w:val="clear" w:color="auto" w:fill="auto"/>
        </w:rPr>
      </w:pPr>
      <w:r>
        <w:rPr>
          <w:rFonts w:ascii="Times New Roman" w:eastAsia="黑体" w:hAnsi="Times New Roman"/>
          <w:kern w:val="2"/>
          <w:sz w:val="32"/>
          <w:szCs w:val="32"/>
          <w:shd w:val="clear" w:color="auto" w:fill="auto"/>
        </w:rPr>
        <w:t>八、政府性基金预算支出情况说明</w:t>
      </w:r>
    </w:p>
    <w:p>
      <w:pPr>
        <w:spacing w:line="576" w:lineRule="exact"/>
        <w:ind w:firstLineChars="200" w:firstLine="640"/>
        <w:rPr>
          <w:rStyle w:val="0"/>
          <w:rFonts w:ascii="Times New Roman" w:eastAsia="仿宋_GB2312" w:hAnsi="Times New Roman"/>
          <w:sz w:val="32"/>
          <w:szCs w:val="32"/>
        </w:rPr>
      </w:pPr>
      <w:r>
        <w:rPr>
          <w:rStyle w:val="0"/>
          <w:rFonts w:ascii="Times New Roman" w:eastAsia="仿宋_GB2312" w:hAnsi="Times New Roman"/>
          <w:sz w:val="32"/>
          <w:szCs w:val="32"/>
        </w:rPr>
        <w:t>2022年无政府性基金预算拨款安排。</w:t>
      </w:r>
    </w:p>
    <w:p>
      <w:pPr>
        <w:pStyle w:val="18"/>
        <w:spacing w:before="0" w:line="576" w:lineRule="exact"/>
        <w:ind w:firstLineChars="200" w:firstLine="640"/>
        <w:rPr>
          <w:rFonts w:ascii="Times New Roman" w:eastAsia="黑体" w:hAnsi="Times New Roman"/>
          <w:kern w:val="2"/>
          <w:sz w:val="32"/>
          <w:szCs w:val="32"/>
          <w:shd w:val="clear" w:color="auto" w:fill="auto"/>
        </w:rPr>
      </w:pPr>
      <w:r>
        <w:rPr>
          <w:rFonts w:ascii="Times New Roman" w:eastAsia="黑体" w:hAnsi="Times New Roman"/>
          <w:kern w:val="2"/>
          <w:sz w:val="32"/>
          <w:szCs w:val="32"/>
          <w:shd w:val="clear" w:color="auto" w:fill="auto"/>
        </w:rPr>
        <w:t>九、其他重要事项的情况说明</w:t>
      </w:r>
    </w:p>
    <w:p>
      <w:pPr>
        <w:pStyle w:val="18"/>
        <w:spacing w:before="0" w:line="576" w:lineRule="exact"/>
        <w:ind w:firstLineChars="200" w:firstLine="640"/>
        <w:rPr>
          <w:rFonts w:ascii="Times New Roman" w:hAnsi="Times New Roman"/>
          <w:color w:val="FF0000"/>
          <w:kern w:val="2"/>
          <w:sz w:val="32"/>
          <w:szCs w:val="32"/>
        </w:rPr>
      </w:pPr>
      <w:r>
        <w:rPr>
          <w:rFonts w:ascii="Times New Roman" w:eastAsia="楷体_GB2312" w:hAnsi="Times New Roman"/>
          <w:b/>
          <w:kern w:val="2"/>
          <w:sz w:val="32"/>
          <w:szCs w:val="32"/>
          <w:shd w:val="clear" w:color="auto" w:fill="auto"/>
        </w:rPr>
        <w:t>（一）机关运行经费</w:t>
      </w:r>
      <w:r>
        <w:rPr>
          <w:rFonts w:ascii="Times New Roman" w:hAnsi="Times New Roman"/>
          <w:kern w:val="2"/>
          <w:sz w:val="32"/>
          <w:szCs w:val="32"/>
        </w:rPr>
        <w:br/>
        <w:t>　  州涉藏事务研究中心2022年机关运行经费财政拨款预算为15.36万元。</w:t>
      </w:r>
    </w:p>
    <w:p>
      <w:pPr>
        <w:pStyle w:val="18"/>
        <w:spacing w:before="0" w:line="576" w:lineRule="exact"/>
        <w:ind w:firstLineChars="200" w:firstLine="640"/>
        <w:rPr>
          <w:rFonts w:ascii="Times New Roman" w:eastAsia="方正仿宋_GBK" w:hAnsi="Times New Roman"/>
          <w:bCs/>
          <w:kern w:val="2"/>
          <w:sz w:val="32"/>
          <w:szCs w:val="32"/>
        </w:rPr>
      </w:pPr>
      <w:r>
        <w:rPr>
          <w:rFonts w:ascii="Times New Roman" w:eastAsia="楷体_GB2312" w:hAnsi="Times New Roman"/>
          <w:b/>
          <w:kern w:val="2"/>
          <w:sz w:val="32"/>
          <w:szCs w:val="32"/>
          <w:shd w:val="clear" w:color="auto" w:fill="auto"/>
        </w:rPr>
        <w:t>（二）政府采购情况</w:t>
      </w:r>
      <w:r>
        <w:rPr>
          <w:rFonts w:ascii="Times New Roman" w:hAnsi="Times New Roman"/>
          <w:kern w:val="2"/>
          <w:sz w:val="32"/>
          <w:szCs w:val="32"/>
        </w:rPr>
        <w:br/>
        <w:t>　　</w:t>
      </w:r>
      <w:r>
        <w:rPr>
          <w:rFonts w:ascii="Times New Roman" w:eastAsia="方正仿宋_GBK" w:hAnsi="Times New Roman"/>
          <w:kern w:val="2"/>
          <w:sz w:val="32"/>
          <w:szCs w:val="32"/>
        </w:rPr>
        <w:t>2022年州涉藏事务研究中心安排政府采购预算104万元，主要</w:t>
      </w:r>
      <w:r>
        <w:rPr>
          <w:rFonts w:ascii="Times New Roman" w:eastAsia="方正仿宋_GBK" w:hAnsi="Times New Roman"/>
          <w:bCs/>
          <w:kern w:val="2"/>
          <w:sz w:val="32"/>
          <w:szCs w:val="32"/>
        </w:rPr>
        <w:t>用于：办公设备购置费14万元，</w:t>
      </w:r>
      <w:r>
        <w:rPr>
          <w:rFonts w:ascii="Times New Roman" w:eastAsia="方正仿宋_GBK" w:cs="Lucida Sans" w:hAnsi="Times New Roman"/>
          <w:kern w:val="2"/>
          <w:sz w:val="32"/>
          <w:szCs w:val="32"/>
        </w:rPr>
        <w:t>办公家具购置30万元、办公用房维修改造60万元。</w:t>
      </w:r>
    </w:p>
    <w:p>
      <w:pPr>
        <w:spacing w:line="576" w:lineRule="exact"/>
        <w:ind w:firstLineChars="200" w:firstLine="640"/>
        <w:rPr>
          <w:rStyle w:val="0"/>
          <w:rFonts w:ascii="Times New Roman" w:eastAsia="楷体_GB2312" w:hAnsi="Times New Roman"/>
          <w:b/>
          <w:sz w:val="32"/>
          <w:szCs w:val="32"/>
          <w:shd w:val="clear" w:color="auto" w:fill="auto"/>
        </w:rPr>
      </w:pPr>
      <w:r>
        <w:rPr>
          <w:rStyle w:val="0"/>
          <w:rFonts w:ascii="Times New Roman" w:eastAsia="楷体_GB2312" w:hAnsi="Times New Roman"/>
          <w:b/>
          <w:sz w:val="32"/>
          <w:szCs w:val="32"/>
          <w:shd w:val="clear" w:color="auto" w:fill="auto"/>
        </w:rPr>
        <w:t>（三）国有资产占有使用情况</w:t>
      </w:r>
    </w:p>
    <w:p>
      <w:pPr>
        <w:pStyle w:val="18"/>
        <w:spacing w:before="0" w:line="576" w:lineRule="exact"/>
        <w:ind w:firstLineChars="200" w:firstLine="640"/>
        <w:rPr>
          <w:rFonts w:ascii="Times New Roman" w:hAnsi="Times New Roman"/>
          <w:kern w:val="2"/>
          <w:sz w:val="32"/>
          <w:szCs w:val="32"/>
        </w:rPr>
      </w:pPr>
      <w:r>
        <w:rPr>
          <w:rFonts w:ascii="Times New Roman" w:hAnsi="Times New Roman"/>
          <w:kern w:val="2"/>
          <w:sz w:val="32"/>
          <w:szCs w:val="32"/>
        </w:rPr>
        <w:t>截至2021年12月31日，我单位固定资产59.52万元。</w:t>
      </w:r>
    </w:p>
    <w:p>
      <w:pPr>
        <w:pStyle w:val="18"/>
        <w:spacing w:before="0" w:line="576" w:lineRule="exact"/>
        <w:ind w:left="0" w:firstLineChars="200" w:firstLine="640"/>
        <w:rPr>
          <w:rFonts w:ascii="Times New Roman" w:eastAsia="方正仿宋_GBK" w:hAnsi="Times New Roman"/>
          <w:kern w:val="2"/>
          <w:sz w:val="32"/>
          <w:szCs w:val="32"/>
        </w:rPr>
      </w:pPr>
      <w:r>
        <w:rPr>
          <w:rFonts w:ascii="Times New Roman" w:eastAsia="楷体_GB2312" w:hAnsi="Times New Roman"/>
          <w:b/>
          <w:kern w:val="2"/>
          <w:sz w:val="32"/>
          <w:szCs w:val="32"/>
          <w:shd w:val="clear" w:color="auto" w:fill="auto"/>
        </w:rPr>
        <w:t>（四）绩效目标设置情况</w:t>
      </w:r>
      <w:r>
        <w:rPr>
          <w:rFonts w:ascii="Times New Roman" w:hAnsi="Times New Roman"/>
          <w:kern w:val="2"/>
          <w:sz w:val="32"/>
          <w:szCs w:val="32"/>
        </w:rPr>
        <w:br/>
        <w:t>　　2022年州涉藏事务研究中心通用项目和专用项目均按要求实行绩效目标管理，涉及一般公共预算当年拨款104万元，</w:t>
      </w:r>
      <w:r>
        <w:rPr>
          <w:rFonts w:ascii="Times New Roman" w:eastAsia="方正仿宋_GBK" w:hAnsi="Times New Roman"/>
          <w:kern w:val="2"/>
          <w:sz w:val="32"/>
          <w:szCs w:val="32"/>
        </w:rPr>
        <w:t>包括办公设备购置费14万元、办公家具购置费30万元、办公用房维修改造60万元</w:t>
      </w:r>
      <w:r>
        <w:rPr>
          <w:rFonts w:ascii="Times New Roman" w:eastAsia="方正仿宋_GBK" w:cs="Times New Roman" w:hAnsi="Times New Roman"/>
          <w:sz w:val="32"/>
          <w:szCs w:val="32"/>
        </w:rPr>
        <w:t>。</w:t>
      </w:r>
    </w:p>
    <w:p>
      <w:pPr>
        <w:pStyle w:val="18"/>
        <w:spacing w:before="0" w:line="576" w:lineRule="exact"/>
        <w:ind w:firstLineChars="200" w:firstLine="640"/>
        <w:rPr>
          <w:rFonts w:ascii="Times New Roman" w:hAnsi="Times New Roman"/>
          <w:kern w:val="2"/>
          <w:sz w:val="32"/>
          <w:szCs w:val="32"/>
        </w:rPr>
      </w:pPr>
      <w:r>
        <w:rPr>
          <w:rFonts w:ascii="Times New Roman" w:eastAsia="黑体" w:hAnsi="Times New Roman"/>
          <w:kern w:val="2"/>
          <w:sz w:val="32"/>
          <w:szCs w:val="32"/>
          <w:shd w:val="clear" w:color="auto" w:fill="auto"/>
        </w:rPr>
        <w:t xml:space="preserve">十、名称解释 </w:t>
      </w:r>
      <w:r>
        <w:rPr>
          <w:rFonts w:ascii="Times New Roman" w:hAnsi="Times New Roman"/>
          <w:sz w:val="32"/>
          <w:szCs w:val="32"/>
        </w:rPr>
        <w:br/>
      </w:r>
      <w:r>
        <w:rPr>
          <w:rFonts w:ascii="Times New Roman" w:hAnsi="Times New Roman"/>
          <w:kern w:val="2"/>
          <w:sz w:val="32"/>
          <w:szCs w:val="32"/>
        </w:rPr>
        <w:t>　　（一）财政拨款收入：指由财政拨款形成的部门收入。按现行管理制度，部门预算中反映的财政拨款仅包括一般公共预算拨款和政府性基金预算拨款。</w:t>
        <w:br/>
        <w:t>　　（二）事业收入：指所属事业单位开展专业业务活动及辅助活动所取得的收入。</w:t>
        <w:br/>
        <w:t>　　（三）事业单位经营收入：指所属事业单位在专业业务活动及其辅助活动之外开展非独立核算经营活动取得的收入。</w:t>
        <w:br/>
        <w:t>　　（四）其他收入：指除上述“财政拨款收入”、“事业收入”、“事业单位经营收入”等以外的收入，主要是所属行政事业单位按规定动用的售房收入、存款利息收入等。</w:t>
        <w:br/>
        <w:t>　　（五）用事业基金弥补收支差额：指所属事业单位在预计用当年的“财政拨款收入”、“事业收入”、“事业单位经营收入”、“其他收入”不足以安排当年支出的情况下，使用以前年度积累的事业基金弥补本年度收支缺口的资金。</w:t>
        <w:br/>
        <w:t>　　（六）上年结转：指所属行政事业单位以前年度尚未完成、结转至本年按原规定用途继续使用的资金和以前年度已完成项目剩余资金经批准用于新用途使用的资金。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footerReference w:type="default" r:id="rId5"/>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方正小标宋_GBK">
    <w:panose1 w:val="03000502000000000000"/>
    <w:charset w:val="86"/>
    <w:family w:val="script"/>
    <w:pitch w:val="variable"/>
    <w:sig w:usb0="00000001" w:usb1="080E0000" w:usb2="00000000" w:usb3="00000000" w:csb0="00040000" w:csb1="00000000"/>
  </w:font>
  <w:font w:name="仿宋_GB2312">
    <w:panose1 w:val="02010609030101010101"/>
    <w:charset w:val="86"/>
    <w:family w:val="modern"/>
    <w:pitch w:val="variable"/>
    <w:sig w:usb0="00000001" w:usb1="080E0000" w:usb2="0000001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auto"/>
    <w:pitch w:val="variable"/>
    <w:sig w:usb0="00000001" w:usb1="080E0000" w:usb2="00000000" w:usb3="00000000" w:csb0="00040000" w:csb1="00000000"/>
  </w:font>
  <w:font w:name="方正仿宋_GBK">
    <w:altName w:val="微软雅黑"/>
    <w:panose1 w:val="00000000000000000000"/>
    <w:charset w:val="86"/>
    <w:family w:val="auto"/>
    <w:pitch w:val="variable"/>
    <w:sig w:usb0="00000000" w:usb1="080E0000" w:usb2="00000000" w:usb3="00000000" w:csb0="00040000" w:csb1="00000000"/>
  </w:font>
  <w:font w:name="Lucida Sans">
    <w:altName w:val="DejaVu Sans"/>
    <w:panose1 w:val="020B0602030504020204"/>
    <w:charset w:val="00"/>
    <w:family w:val="auto"/>
    <w:pitch w:val="variable"/>
    <w:sig w:usb0="00000003" w:usb1="00000000" w:usb2="00000000" w:usb3="00000000" w:csb0="20000001" w:csb1="00000000"/>
  </w:font>
  <w:font w:name="Calibri">
    <w:altName w:val="Times New Roman"/>
    <w:panose1 w:val="020F0502020204030204"/>
    <w:charset w:val="00"/>
    <w:family w:val="swiss"/>
    <w:pitch w:val="variable"/>
    <w:sig w:usb0="E0002EFF" w:usb1="C000247B"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jc w:val="cente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5"/>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
      </w:rPr>
      <w:fldChar w:fldCharType="begin"/>
    </w:r>
    <w:r>
      <w:rPr>
        <w:rStyle w:val="19"/>
      </w:rPr>
      <w:instrText>Page</w:instrText>
    </w:r>
    <w:r>
      <w:rPr>
        <w:rStyle w:val="19"/>
      </w:rPr>
      <w:fldChar w:fldCharType="separate"/>
    </w:r>
    <w:r>
      <w:rPr>
        <w:rStyle w:val="19"/>
      </w:rPr>
      <w:t>1</w:t>
    </w:r>
    <w:r>
      <w:rPr>
        <w:rStyle w:val="19"/>
      </w:rPr>
      <w:fldChar w:fldCharType="end"/>
    </w:r>
  </w:p>
  <w:p>
    <w:pPr>
      <w:pStyle w:val="15"/>
      <w:tabs>
        <w:tab w:val="center" w:pos="4153"/>
        <w:tab w:val="right" w:pos="8306"/>
      </w:tabs>
      <w:jc w:val="cente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List Paragraph"/>
    <w:basedOn w:val="0"/>
    <w:pPr>
      <w:ind w:firstLineChars="200" w:firstLine="200"/>
    </w:pPr>
  </w:style>
  <w:style w:type="paragraph" w:customStyle="1" w:styleId="18">
    <w:name w:val="正文文本1"/>
    <w:basedOn w:val="0"/>
    <w:pPr>
      <w:spacing w:before="93"/>
    </w:pPr>
    <w:rPr>
      <w:rFonts w:ascii="仿宋_GB2312" w:eastAsia="仿宋_GB2312"/>
      <w:kern w:val="0"/>
      <w:sz w:val="30"/>
      <w:szCs w:val="20"/>
    </w:rPr>
  </w:style>
  <w:style w:type="character" w:styleId="19">
    <w:name w:val="page number"/>
    <w:basedOn w:val="10"/>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styles" Target="styles.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1361</TotalTime>
  <Application>Yozo_Office27021597764231179</Application>
  <Pages>7</Pages>
  <Words>2190</Words>
  <Characters>2474</Characters>
  <Lines>152</Lines>
  <Paragraphs>58</Paragraphs>
  <CharactersWithSpaces>2512</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3</cp:revision>
  <cp:lastPrinted>2022-01-28T03:42:59Z</cp:lastPrinted>
  <dcterms:created xsi:type="dcterms:W3CDTF">2022-01-12T08:31:00Z</dcterms:created>
  <dcterms:modified xsi:type="dcterms:W3CDTF">2022-01-28T08:15:01Z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2052-10.1.0.7106</vt:lpwstr>
  </property>
</Properties>
</file>