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bookmarkStart w:id="0" w:name="_Toc15306267"/>
      <w:r>
        <w:rPr>
          <w:rFonts w:hint="eastAsia" w:ascii="仿宋_GB2312" w:eastAsia="仿宋_GB2312"/>
          <w:sz w:val="32"/>
          <w:szCs w:val="32"/>
        </w:rPr>
        <w:t>附件3</w:t>
      </w: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w w:val="85"/>
          <w:sz w:val="72"/>
          <w:szCs w:val="72"/>
        </w:rPr>
      </w:pPr>
      <w:bookmarkStart w:id="1" w:name="_Toc15378441"/>
      <w:bookmarkStart w:id="2" w:name="_Toc15377193"/>
      <w:bookmarkStart w:id="3" w:name="_Toc15377425"/>
      <w:bookmarkStart w:id="4" w:name="_Toc15396597"/>
      <w:bookmarkStart w:id="5" w:name="_Toc15396475"/>
      <w:bookmarkStart w:id="6" w:name="_Toc115798203"/>
      <w:r>
        <w:rPr>
          <w:rFonts w:hint="eastAsia" w:ascii="方正小标宋简体" w:eastAsia="方正小标宋简体" w:cs="方正小标宋简体"/>
          <w:w w:val="85"/>
          <w:sz w:val="72"/>
          <w:szCs w:val="72"/>
        </w:rPr>
        <w:t>2021年度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s="方正小标宋简体"/>
          <w:w w:val="85"/>
          <w:sz w:val="72"/>
          <w:szCs w:val="72"/>
        </w:rPr>
      </w:pPr>
      <w:bookmarkStart w:id="7" w:name="_Toc115798204"/>
      <w:bookmarkStart w:id="8" w:name="_Toc15396476"/>
      <w:bookmarkStart w:id="9" w:name="_Toc15378442"/>
      <w:bookmarkStart w:id="10" w:name="_Toc15396598"/>
      <w:bookmarkStart w:id="11" w:name="_Toc15377194"/>
      <w:bookmarkStart w:id="12" w:name="_Toc15377426"/>
      <w:r>
        <w:rPr>
          <w:rFonts w:hint="eastAsia" w:ascii="方正小标宋简体" w:eastAsia="方正小标宋简体" w:cs="方正小标宋简体"/>
          <w:w w:val="85"/>
          <w:sz w:val="72"/>
          <w:szCs w:val="72"/>
        </w:rPr>
        <w:t>中共四川省</w:t>
      </w:r>
      <w:r>
        <w:rPr>
          <w:rFonts w:ascii="方正小标宋简体" w:eastAsia="方正小标宋简体" w:cs="方正小标宋简体"/>
          <w:w w:val="85"/>
          <w:sz w:val="72"/>
          <w:szCs w:val="72"/>
        </w:rPr>
        <w:t>阿坝州</w:t>
      </w:r>
      <w:bookmarkEnd w:id="0"/>
      <w:bookmarkStart w:id="13" w:name="_Toc15306268"/>
      <w:r>
        <w:rPr>
          <w:rFonts w:hint="eastAsia" w:ascii="方正小标宋简体" w:eastAsia="方正小标宋简体" w:cs="方正小标宋简体"/>
          <w:w w:val="85"/>
          <w:sz w:val="72"/>
          <w:szCs w:val="72"/>
        </w:rPr>
        <w:t>委讲师团</w:t>
      </w:r>
      <w:bookmarkEnd w:id="7"/>
    </w:p>
    <w:p>
      <w:pPr>
        <w:adjustRightInd w:val="0"/>
        <w:snapToGrid w:val="0"/>
        <w:spacing w:line="360" w:lineRule="auto"/>
        <w:jc w:val="center"/>
        <w:outlineLvl w:val="0"/>
        <w:rPr>
          <w:rFonts w:ascii="方正小标宋简体" w:eastAsia="方正小标宋简体" w:cs="方正小标宋简体"/>
          <w:w w:val="85"/>
          <w:sz w:val="72"/>
          <w:szCs w:val="72"/>
        </w:rPr>
      </w:pPr>
      <w:bookmarkStart w:id="14" w:name="_Toc115798205"/>
      <w:r>
        <w:rPr>
          <w:rFonts w:hint="eastAsia" w:ascii="方正小标宋简体" w:eastAsia="方正小标宋简体" w:cs="方正小标宋简体"/>
          <w:w w:val="85"/>
          <w:sz w:val="72"/>
          <w:szCs w:val="72"/>
        </w:rPr>
        <w:t>单位决算</w:t>
      </w:r>
      <w:bookmarkEnd w:id="8"/>
      <w:bookmarkEnd w:id="9"/>
      <w:bookmarkEnd w:id="10"/>
      <w:bookmarkEnd w:id="11"/>
      <w:bookmarkEnd w:id="12"/>
      <w:bookmarkEnd w:id="13"/>
      <w:bookmarkEnd w:id="14"/>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w:t>
      </w:r>
      <w:bookmarkStart w:id="110" w:name="_GoBack"/>
      <w:bookmarkEnd w:id="110"/>
      <w:r>
        <w:rPr>
          <w:rFonts w:hint="eastAsia" w:ascii="仿宋_GB2312" w:eastAsia="仿宋_GB2312" w:cs="仿宋_GB2312"/>
          <w:sz w:val="32"/>
          <w:szCs w:val="32"/>
        </w:rPr>
        <w:t>开</w:t>
      </w:r>
    </w:p>
    <w:sdt>
      <w:sdtPr>
        <w:rPr>
          <w:rFonts w:ascii="Times New Roman" w:hAnsi="Times New Roman" w:eastAsia="宋体" w:cs="Times New Roman"/>
          <w:b w:val="0"/>
          <w:bCs w:val="0"/>
          <w:color w:val="auto"/>
          <w:kern w:val="2"/>
          <w:sz w:val="21"/>
          <w:szCs w:val="24"/>
          <w:lang w:val="zh-CN"/>
        </w:rPr>
        <w:id w:val="-369071131"/>
        <w:docPartObj>
          <w:docPartGallery w:val="Table of Contents"/>
          <w:docPartUnique/>
        </w:docPartObj>
      </w:sdtPr>
      <w:sdtEndPr>
        <w:rPr>
          <w:rFonts w:hint="eastAsia" w:ascii="仿宋_GB2312" w:hAnsi="Times New Roman" w:eastAsia="仿宋_GB2312" w:cs="Times New Roman"/>
          <w:b w:val="0"/>
          <w:bCs w:val="0"/>
          <w:color w:val="auto"/>
          <w:kern w:val="2"/>
          <w:sz w:val="21"/>
          <w:szCs w:val="24"/>
          <w:lang w:val="zh-CN"/>
        </w:rPr>
      </w:sdtEndPr>
      <w:sdtContent>
        <w:p>
          <w:pPr>
            <w:pStyle w:val="28"/>
            <w:jc w:val="center"/>
            <w:rPr>
              <w:color w:val="auto"/>
              <w:lang w:val="zh-CN"/>
            </w:rPr>
          </w:pPr>
          <w:r>
            <w:rPr>
              <w:color w:val="auto"/>
              <w:lang w:val="zh-CN"/>
            </w:rPr>
            <w:t>目</w:t>
          </w:r>
          <w:r>
            <w:rPr>
              <w:rFonts w:hint="eastAsia"/>
              <w:color w:val="auto"/>
              <w:lang w:val="zh-CN"/>
            </w:rPr>
            <w:t xml:space="preserve"> </w:t>
          </w:r>
          <w:r>
            <w:rPr>
              <w:color w:val="auto"/>
              <w:lang w:val="zh-CN"/>
            </w:rPr>
            <w:t>录</w:t>
          </w:r>
        </w:p>
        <w:p>
          <w:pPr>
            <w:jc w:val="center"/>
            <w:rPr>
              <w:rFonts w:ascii="仿宋_GB2312" w:eastAsia="仿宋_GB2312"/>
              <w:sz w:val="28"/>
              <w:szCs w:val="28"/>
              <w:lang w:val="zh-CN"/>
            </w:rPr>
          </w:pPr>
          <w:r>
            <w:rPr>
              <w:rFonts w:hint="eastAsia" w:ascii="仿宋_GB2312" w:eastAsia="仿宋_GB2312"/>
              <w:sz w:val="28"/>
              <w:szCs w:val="28"/>
              <w:lang w:val="zh-CN"/>
            </w:rPr>
            <w:t>公开时间：2022年9月2</w:t>
          </w:r>
          <w:r>
            <w:rPr>
              <w:rFonts w:hint="eastAsia" w:ascii="仿宋_GB2312" w:eastAsia="仿宋_GB2312"/>
              <w:sz w:val="28"/>
              <w:szCs w:val="28"/>
              <w:lang w:val="en-US" w:eastAsia="zh-CN"/>
            </w:rPr>
            <w:t>8</w:t>
          </w:r>
          <w:r>
            <w:rPr>
              <w:rFonts w:hint="eastAsia" w:ascii="仿宋_GB2312" w:eastAsia="仿宋_GB2312"/>
              <w:sz w:val="28"/>
              <w:szCs w:val="28"/>
              <w:lang w:val="zh-CN"/>
            </w:rPr>
            <w:t>日</w:t>
          </w:r>
          <w:r>
            <w:rPr>
              <w:rFonts w:hint="eastAsia" w:ascii="仿宋_GB2312" w:eastAsia="仿宋_GB2312"/>
              <w:sz w:val="28"/>
              <w:szCs w:val="28"/>
            </w:rPr>
            <w:fldChar w:fldCharType="begin"/>
          </w:r>
          <w:r>
            <w:rPr>
              <w:rFonts w:hint="eastAsia" w:ascii="仿宋_GB2312" w:eastAsia="仿宋_GB2312"/>
              <w:sz w:val="28"/>
              <w:szCs w:val="28"/>
            </w:rPr>
            <w:instrText xml:space="preserve"> TOC \o "1-3" \h \z \u </w:instrText>
          </w:r>
          <w:r>
            <w:rPr>
              <w:rFonts w:hint="eastAsia" w:ascii="仿宋_GB2312" w:eastAsia="仿宋_GB2312"/>
              <w:sz w:val="28"/>
              <w:szCs w:val="28"/>
            </w:rPr>
            <w:fldChar w:fldCharType="separate"/>
          </w:r>
        </w:p>
        <w:p>
          <w:pPr>
            <w:pStyle w:val="10"/>
            <w:rPr>
              <w:rFonts w:ascii="仿宋_GB2312" w:eastAsia="仿宋_GB2312" w:hAnsiTheme="minorHAnsi" w:cstheme="minorBidi"/>
            </w:rPr>
          </w:pPr>
          <w:r>
            <w:fldChar w:fldCharType="begin"/>
          </w:r>
          <w:r>
            <w:instrText xml:space="preserve"> HYPERLINK \l "_Toc115798206" </w:instrText>
          </w:r>
          <w:r>
            <w:fldChar w:fldCharType="separate"/>
          </w:r>
          <w:r>
            <w:rPr>
              <w:rStyle w:val="16"/>
              <w:rFonts w:hint="eastAsia" w:ascii="仿宋_GB2312" w:eastAsia="仿宋_GB2312"/>
            </w:rPr>
            <w:t>第一部分 单位概况</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_Toc115798206 \h </w:instrText>
          </w:r>
          <w:r>
            <w:rPr>
              <w:rFonts w:hint="eastAsia" w:ascii="仿宋_GB2312" w:eastAsia="仿宋_GB2312"/>
            </w:rPr>
            <w:fldChar w:fldCharType="separate"/>
          </w:r>
          <w:r>
            <w:rPr>
              <w:rFonts w:ascii="仿宋_GB2312" w:eastAsia="仿宋_GB2312"/>
            </w:rPr>
            <w:t>1</w:t>
          </w:r>
          <w:r>
            <w:rPr>
              <w:rFonts w:hint="eastAsia" w:ascii="仿宋_GB2312" w:eastAsia="仿宋_GB2312"/>
            </w:rPr>
            <w:fldChar w:fldCharType="end"/>
          </w:r>
          <w:r>
            <w:rPr>
              <w:rFonts w:hint="eastAsia" w:ascii="仿宋_GB2312" w:eastAsia="仿宋_GB2312"/>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"_Toc115798207" </w:instrText>
          </w:r>
          <w:r>
            <w:fldChar w:fldCharType="separate"/>
          </w:r>
          <w:r>
            <w:rPr>
              <w:rStyle w:val="16"/>
              <w:rFonts w:hint="eastAsia" w:ascii="仿宋_GB2312" w:eastAsia="仿宋_GB2312"/>
              <w:sz w:val="28"/>
              <w:szCs w:val="28"/>
            </w:rPr>
            <w:t>一、职能简介</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_Toc115798207 \h </w:instrText>
          </w:r>
          <w:r>
            <w:rPr>
              <w:rFonts w:hint="eastAsia" w:ascii="仿宋_GB2312" w:eastAsia="仿宋_GB2312"/>
              <w:sz w:val="28"/>
              <w:szCs w:val="28"/>
            </w:rPr>
            <w:fldChar w:fldCharType="separate"/>
          </w:r>
          <w:r>
            <w:rPr>
              <w:rFonts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"_Toc115798208" </w:instrText>
          </w:r>
          <w:r>
            <w:fldChar w:fldCharType="separate"/>
          </w:r>
          <w:r>
            <w:rPr>
              <w:rStyle w:val="16"/>
              <w:rFonts w:hint="eastAsia" w:ascii="仿宋_GB2312" w:eastAsia="仿宋_GB2312"/>
              <w:sz w:val="28"/>
              <w:szCs w:val="28"/>
            </w:rPr>
            <w:t>二、2021年重点工作完成情况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_Toc115798208 \h </w:instrText>
          </w:r>
          <w:r>
            <w:rPr>
              <w:rFonts w:hint="eastAsia" w:ascii="仿宋_GB2312" w:eastAsia="仿宋_GB2312"/>
              <w:sz w:val="28"/>
              <w:szCs w:val="28"/>
            </w:rPr>
            <w:fldChar w:fldCharType="separate"/>
          </w:r>
          <w:r>
            <w:rPr>
              <w:rFonts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0"/>
            <w:rPr>
              <w:rFonts w:ascii="仿宋_GB2312" w:eastAsia="仿宋_GB2312" w:hAnsiTheme="minorHAnsi" w:cstheme="minorBidi"/>
            </w:rPr>
          </w:pPr>
          <w:r>
            <w:fldChar w:fldCharType="begin"/>
          </w:r>
          <w:r>
            <w:instrText xml:space="preserve"> HYPERLINK \l "_Toc115798209" </w:instrText>
          </w:r>
          <w:r>
            <w:fldChar w:fldCharType="separate"/>
          </w:r>
          <w:r>
            <w:rPr>
              <w:rStyle w:val="16"/>
              <w:rFonts w:hint="eastAsia" w:ascii="仿宋_GB2312" w:eastAsia="仿宋_GB2312"/>
            </w:rPr>
            <w:t>第二部分 2021年度单位决算情况说明</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_Toc115798209 \h </w:instrText>
          </w:r>
          <w:r>
            <w:rPr>
              <w:rFonts w:hint="eastAsia" w:ascii="仿宋_GB2312" w:eastAsia="仿宋_GB2312"/>
            </w:rPr>
            <w:fldChar w:fldCharType="separate"/>
          </w:r>
          <w:r>
            <w:rPr>
              <w:rFonts w:ascii="仿宋_GB2312" w:eastAsia="仿宋_GB2312"/>
            </w:rPr>
            <w:t>2</w:t>
          </w:r>
          <w:r>
            <w:rPr>
              <w:rFonts w:hint="eastAsia" w:ascii="仿宋_GB2312" w:eastAsia="仿宋_GB2312"/>
            </w:rPr>
            <w:fldChar w:fldCharType="end"/>
          </w:r>
          <w:r>
            <w:rPr>
              <w:rFonts w:hint="eastAsia" w:ascii="仿宋_GB2312" w:eastAsia="仿宋_GB2312"/>
            </w:rPr>
            <w:fldChar w:fldCharType="end"/>
          </w:r>
        </w:p>
        <w:p>
          <w:pPr>
            <w:pStyle w:val="11"/>
            <w:tabs>
              <w:tab w:val="left" w:pos="1260"/>
            </w:tabs>
            <w:ind w:left="420"/>
            <w:rPr>
              <w:rFonts w:ascii="仿宋_GB2312" w:eastAsia="仿宋_GB2312" w:hAnsiTheme="minorHAnsi" w:cstheme="minorBidi"/>
              <w:sz w:val="28"/>
              <w:szCs w:val="28"/>
            </w:rPr>
          </w:pPr>
          <w:r>
            <w:fldChar w:fldCharType="begin"/>
          </w:r>
          <w:r>
            <w:instrText xml:space="preserve"> HYPERLINK \l "_Toc115798210" </w:instrText>
          </w:r>
          <w:r>
            <w:fldChar w:fldCharType="separate"/>
          </w:r>
          <w:r>
            <w:rPr>
              <w:rStyle w:val="16"/>
              <w:rFonts w:hint="eastAsia" w:ascii="仿宋_GB2312" w:hAnsi="Cambria" w:eastAsia="仿宋_GB2312"/>
              <w:bCs/>
              <w:sz w:val="28"/>
              <w:szCs w:val="28"/>
            </w:rPr>
            <w:t>一、</w:t>
          </w:r>
          <w:r>
            <w:rPr>
              <w:rStyle w:val="16"/>
              <w:rFonts w:hint="eastAsia" w:ascii="仿宋_GB2312" w:eastAsia="仿宋_GB2312"/>
              <w:sz w:val="28"/>
              <w:szCs w:val="28"/>
            </w:rPr>
            <w:t>收</w:t>
          </w:r>
          <w:r>
            <w:rPr>
              <w:rStyle w:val="16"/>
              <w:rFonts w:hint="eastAsia" w:ascii="仿宋_GB2312" w:hAnsi="Cambria" w:eastAsia="仿宋_GB2312"/>
              <w:bCs/>
              <w:sz w:val="28"/>
              <w:szCs w:val="28"/>
            </w:rPr>
            <w:t>入支出决算总体情况说明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_Toc115798210 \h </w:instrText>
          </w:r>
          <w:r>
            <w:rPr>
              <w:rFonts w:hint="eastAsia" w:ascii="仿宋_GB2312" w:eastAsia="仿宋_GB2312"/>
              <w:sz w:val="28"/>
              <w:szCs w:val="28"/>
            </w:rPr>
            <w:fldChar w:fldCharType="separate"/>
          </w:r>
          <w:r>
            <w:rPr>
              <w:rFonts w:ascii="仿宋_GB2312" w:eastAsia="仿宋_GB2312"/>
              <w:sz w:val="28"/>
              <w:szCs w:val="28"/>
            </w:rPr>
            <w:t>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tabs>
              <w:tab w:val="left" w:pos="1260"/>
            </w:tabs>
            <w:ind w:left="420"/>
            <w:rPr>
              <w:rFonts w:ascii="仿宋_GB2312" w:eastAsia="仿宋_GB2312" w:hAnsiTheme="minorHAnsi" w:cstheme="minorBidi"/>
              <w:sz w:val="28"/>
              <w:szCs w:val="28"/>
            </w:rPr>
          </w:pPr>
          <w:r>
            <w:fldChar w:fldCharType="begin"/>
          </w:r>
          <w:r>
            <w:instrText xml:space="preserve"> HYPERLINK \l "_Toc115798211" </w:instrText>
          </w:r>
          <w:r>
            <w:fldChar w:fldCharType="separate"/>
          </w:r>
          <w:r>
            <w:rPr>
              <w:rStyle w:val="16"/>
              <w:rFonts w:hint="eastAsia" w:ascii="仿宋_GB2312" w:hAnsi="Cambria" w:eastAsia="仿宋_GB2312"/>
              <w:bCs/>
              <w:sz w:val="28"/>
              <w:szCs w:val="28"/>
            </w:rPr>
            <w:t>二、</w:t>
          </w:r>
          <w:r>
            <w:rPr>
              <w:rStyle w:val="16"/>
              <w:rFonts w:hint="eastAsia" w:ascii="仿宋_GB2312" w:eastAsia="仿宋_GB2312"/>
              <w:sz w:val="28"/>
              <w:szCs w:val="28"/>
            </w:rPr>
            <w:t>收</w:t>
          </w:r>
          <w:r>
            <w:rPr>
              <w:rStyle w:val="16"/>
              <w:rFonts w:hint="eastAsia" w:ascii="仿宋_GB2312" w:hAnsi="Cambria" w:eastAsia="仿宋_GB2312"/>
              <w:bCs/>
              <w:sz w:val="28"/>
              <w:szCs w:val="28"/>
            </w:rPr>
            <w:t>入决算情况说明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_Toc115798211 \h </w:instrText>
          </w:r>
          <w:r>
            <w:rPr>
              <w:rFonts w:hint="eastAsia" w:ascii="仿宋_GB2312" w:eastAsia="仿宋_GB2312"/>
              <w:sz w:val="28"/>
              <w:szCs w:val="28"/>
            </w:rPr>
            <w:fldChar w:fldCharType="separate"/>
          </w:r>
          <w:r>
            <w:rPr>
              <w:rFonts w:ascii="仿宋_GB2312" w:eastAsia="仿宋_GB2312"/>
              <w:sz w:val="28"/>
              <w:szCs w:val="28"/>
            </w:rPr>
            <w:t>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tabs>
              <w:tab w:val="left" w:pos="1260"/>
            </w:tabs>
            <w:ind w:left="420"/>
            <w:rPr>
              <w:rFonts w:ascii="仿宋_GB2312" w:eastAsia="仿宋_GB2312" w:hAnsiTheme="minorHAnsi" w:cstheme="minorBidi"/>
              <w:sz w:val="28"/>
              <w:szCs w:val="28"/>
            </w:rPr>
          </w:pPr>
          <w:r>
            <w:fldChar w:fldCharType="begin"/>
          </w:r>
          <w:r>
            <w:instrText xml:space="preserve"> HYPERLINK \l "_Toc115798212" </w:instrText>
          </w:r>
          <w:r>
            <w:fldChar w:fldCharType="separate"/>
          </w:r>
          <w:r>
            <w:rPr>
              <w:rStyle w:val="16"/>
              <w:rFonts w:hint="eastAsia" w:ascii="仿宋_GB2312" w:hAnsi="Cambria" w:eastAsia="仿宋_GB2312"/>
              <w:bCs/>
              <w:sz w:val="28"/>
              <w:szCs w:val="28"/>
            </w:rPr>
            <w:t>三、</w:t>
          </w:r>
          <w:r>
            <w:rPr>
              <w:rStyle w:val="16"/>
              <w:rFonts w:hint="eastAsia" w:ascii="仿宋_GB2312" w:eastAsia="仿宋_GB2312"/>
              <w:sz w:val="28"/>
              <w:szCs w:val="28"/>
            </w:rPr>
            <w:t>支</w:t>
          </w:r>
          <w:r>
            <w:rPr>
              <w:rStyle w:val="16"/>
              <w:rFonts w:hint="eastAsia" w:ascii="仿宋_GB2312" w:hAnsi="Cambria" w:eastAsia="仿宋_GB2312"/>
              <w:bCs/>
              <w:sz w:val="28"/>
              <w:szCs w:val="28"/>
            </w:rPr>
            <w:t>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_Toc115798212 \h </w:instrText>
          </w:r>
          <w:r>
            <w:rPr>
              <w:rFonts w:hint="eastAsia" w:ascii="仿宋_GB2312" w:eastAsia="仿宋_GB2312"/>
              <w:sz w:val="28"/>
              <w:szCs w:val="28"/>
            </w:rPr>
            <w:fldChar w:fldCharType="separate"/>
          </w:r>
          <w:r>
            <w:rPr>
              <w:rFonts w:ascii="仿宋_GB2312" w:eastAsia="仿宋_GB2312"/>
              <w:sz w:val="28"/>
              <w:szCs w:val="28"/>
            </w:rPr>
            <w:t>2</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"_Toc115798213" </w:instrText>
          </w:r>
          <w:r>
            <w:fldChar w:fldCharType="separate"/>
          </w:r>
          <w:r>
            <w:rPr>
              <w:rStyle w:val="16"/>
              <w:rFonts w:hint="eastAsia" w:ascii="仿宋_GB2312" w:eastAsia="仿宋_GB2312"/>
              <w:sz w:val="28"/>
              <w:szCs w:val="28"/>
            </w:rPr>
            <w:t>四、财</w:t>
          </w:r>
          <w:r>
            <w:rPr>
              <w:rStyle w:val="16"/>
              <w:rFonts w:hint="eastAsia" w:ascii="仿宋_GB2312" w:hAnsi="Cambria" w:eastAsia="仿宋_GB2312"/>
              <w:bCs/>
              <w:sz w:val="28"/>
              <w:szCs w:val="28"/>
            </w:rPr>
            <w:t>政拨款收入支出决算总体情况说明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_Toc115798213 \h </w:instrText>
          </w:r>
          <w:r>
            <w:rPr>
              <w:rFonts w:hint="eastAsia" w:ascii="仿宋_GB2312" w:eastAsia="仿宋_GB2312"/>
              <w:sz w:val="28"/>
              <w:szCs w:val="28"/>
            </w:rPr>
            <w:fldChar w:fldCharType="separate"/>
          </w:r>
          <w:r>
            <w:rPr>
              <w:rFonts w:ascii="仿宋_GB2312" w:eastAsia="仿宋_GB2312"/>
              <w:sz w:val="28"/>
              <w:szCs w:val="28"/>
            </w:rPr>
            <w:t>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"_Toc115798214" </w:instrText>
          </w:r>
          <w:r>
            <w:fldChar w:fldCharType="separate"/>
          </w:r>
          <w:r>
            <w:rPr>
              <w:rStyle w:val="16"/>
              <w:rFonts w:hint="eastAsia" w:ascii="仿宋_GB2312" w:eastAsia="仿宋_GB2312"/>
              <w:sz w:val="28"/>
              <w:szCs w:val="28"/>
            </w:rPr>
            <w:t>五、一</w:t>
          </w:r>
          <w:r>
            <w:rPr>
              <w:rStyle w:val="16"/>
              <w:rFonts w:hint="eastAsia" w:ascii="仿宋_GB2312" w:hAnsi="Cambria" w:eastAsia="仿宋_GB2312"/>
              <w:bCs/>
              <w:sz w:val="28"/>
              <w:szCs w:val="28"/>
            </w:rPr>
            <w:t>般公共预算财政拨款支出决算情况说明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_Toc115798214 \h </w:instrText>
          </w:r>
          <w:r>
            <w:rPr>
              <w:rFonts w:hint="eastAsia" w:ascii="仿宋_GB2312" w:eastAsia="仿宋_GB2312"/>
              <w:sz w:val="28"/>
              <w:szCs w:val="28"/>
            </w:rPr>
            <w:fldChar w:fldCharType="separate"/>
          </w:r>
          <w:r>
            <w:rPr>
              <w:rFonts w:ascii="仿宋_GB2312" w:eastAsia="仿宋_GB2312"/>
              <w:sz w:val="28"/>
              <w:szCs w:val="28"/>
            </w:rPr>
            <w:t>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rPr>
              <w:rFonts w:ascii="仿宋_GB2312" w:eastAsia="仿宋_GB2312" w:hAnsiTheme="minorHAnsi" w:cstheme="minorBidi"/>
              <w:sz w:val="28"/>
              <w:szCs w:val="28"/>
            </w:rPr>
          </w:pPr>
          <w:r>
            <w:fldChar w:fldCharType="begin"/>
          </w:r>
          <w:r>
            <w:instrText xml:space="preserve"> HYPERLINK \l "_Toc115798215" </w:instrText>
          </w:r>
          <w:r>
            <w:fldChar w:fldCharType="separate"/>
          </w:r>
          <w:r>
            <w:rPr>
              <w:rStyle w:val="16"/>
              <w:rFonts w:hint="eastAsia" w:ascii="仿宋_GB2312" w:eastAsia="仿宋_GB2312"/>
              <w:sz w:val="28"/>
              <w:szCs w:val="28"/>
            </w:rPr>
            <w:t>（一）一般公共预算财政拨款支出决算总体情况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_Toc115798215 \h </w:instrText>
          </w:r>
          <w:r>
            <w:rPr>
              <w:rFonts w:hint="eastAsia" w:ascii="仿宋_GB2312" w:eastAsia="仿宋_GB2312"/>
              <w:sz w:val="28"/>
              <w:szCs w:val="28"/>
            </w:rPr>
            <w:fldChar w:fldCharType="separate"/>
          </w:r>
          <w:r>
            <w:rPr>
              <w:rFonts w:ascii="仿宋_GB2312" w:eastAsia="仿宋_GB2312"/>
              <w:sz w:val="28"/>
              <w:szCs w:val="28"/>
            </w:rPr>
            <w:t>3</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rPr>
              <w:rFonts w:ascii="仿宋_GB2312" w:eastAsia="仿宋_GB2312" w:hAnsiTheme="minorHAnsi" w:cstheme="minorBidi"/>
              <w:sz w:val="28"/>
              <w:szCs w:val="28"/>
            </w:rPr>
          </w:pPr>
          <w:r>
            <w:fldChar w:fldCharType="begin"/>
          </w:r>
          <w:r>
            <w:instrText xml:space="preserve"> HYPERLINK \l "_Toc115798216" </w:instrText>
          </w:r>
          <w:r>
            <w:fldChar w:fldCharType="separate"/>
          </w:r>
          <w:r>
            <w:rPr>
              <w:rStyle w:val="16"/>
              <w:rFonts w:hint="eastAsia" w:ascii="仿宋_GB2312" w:eastAsia="仿宋_GB2312"/>
              <w:sz w:val="28"/>
              <w:szCs w:val="28"/>
            </w:rPr>
            <w:t>（二）一般公共预算财政拨款支出决算结构情况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_Toc115798216 \h </w:instrText>
          </w:r>
          <w:r>
            <w:rPr>
              <w:rFonts w:hint="eastAsia" w:ascii="仿宋_GB2312" w:eastAsia="仿宋_GB2312"/>
              <w:sz w:val="28"/>
              <w:szCs w:val="28"/>
            </w:rPr>
            <w:fldChar w:fldCharType="separate"/>
          </w:r>
          <w:r>
            <w:rPr>
              <w:rFonts w:ascii="仿宋_GB2312" w:eastAsia="仿宋_GB2312"/>
              <w:sz w:val="28"/>
              <w:szCs w:val="28"/>
            </w:rPr>
            <w:t>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rPr>
              <w:rFonts w:ascii="仿宋_GB2312" w:eastAsia="仿宋_GB2312" w:hAnsiTheme="minorHAnsi" w:cstheme="minorBidi"/>
              <w:sz w:val="28"/>
              <w:szCs w:val="28"/>
            </w:rPr>
          </w:pPr>
          <w:r>
            <w:fldChar w:fldCharType="begin"/>
          </w:r>
          <w:r>
            <w:instrText xml:space="preserve"> HYPERLINK \l "_Toc115798217" </w:instrText>
          </w:r>
          <w:r>
            <w:fldChar w:fldCharType="separate"/>
          </w:r>
          <w:r>
            <w:rPr>
              <w:rStyle w:val="16"/>
              <w:rFonts w:hint="eastAsia" w:ascii="仿宋_GB2312" w:eastAsia="仿宋_GB2312"/>
              <w:sz w:val="28"/>
              <w:szCs w:val="28"/>
            </w:rPr>
            <w:t>（三）一般公共预算财政拨款支出决算具体情况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_Toc115798217 \h </w:instrText>
          </w:r>
          <w:r>
            <w:rPr>
              <w:rFonts w:hint="eastAsia" w:ascii="仿宋_GB2312" w:eastAsia="仿宋_GB2312"/>
              <w:sz w:val="28"/>
              <w:szCs w:val="28"/>
            </w:rPr>
            <w:fldChar w:fldCharType="separate"/>
          </w:r>
          <w:r>
            <w:rPr>
              <w:rFonts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"_Toc115798218" </w:instrText>
          </w:r>
          <w:r>
            <w:fldChar w:fldCharType="separate"/>
          </w:r>
          <w:r>
            <w:rPr>
              <w:rStyle w:val="16"/>
              <w:rFonts w:hint="eastAsia" w:ascii="仿宋_GB2312" w:eastAsia="仿宋_GB2312"/>
              <w:sz w:val="28"/>
              <w:szCs w:val="28"/>
            </w:rPr>
            <w:t>六、一</w:t>
          </w:r>
          <w:r>
            <w:rPr>
              <w:rStyle w:val="16"/>
              <w:rFonts w:hint="eastAsia" w:ascii="仿宋_GB2312" w:hAnsi="Cambria" w:eastAsia="仿宋_GB2312"/>
              <w:bCs/>
              <w:sz w:val="28"/>
              <w:szCs w:val="28"/>
            </w:rPr>
            <w:t>般公共预算财政拨款基本支出决算情况说明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_Toc115798218 \h </w:instrText>
          </w:r>
          <w:r>
            <w:rPr>
              <w:rFonts w:hint="eastAsia" w:ascii="仿宋_GB2312" w:eastAsia="仿宋_GB2312"/>
              <w:sz w:val="28"/>
              <w:szCs w:val="28"/>
            </w:rPr>
            <w:fldChar w:fldCharType="separate"/>
          </w:r>
          <w:r>
            <w:rPr>
              <w:rFonts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"_Toc115798219" </w:instrText>
          </w:r>
          <w:r>
            <w:fldChar w:fldCharType="separate"/>
          </w:r>
          <w:r>
            <w:rPr>
              <w:rStyle w:val="16"/>
              <w:rFonts w:hint="eastAsia" w:ascii="仿宋_GB2312" w:eastAsia="仿宋_GB2312"/>
              <w:sz w:val="28"/>
              <w:szCs w:val="28"/>
            </w:rPr>
            <w:t>七、</w:t>
          </w:r>
          <w:r>
            <w:rPr>
              <w:rStyle w:val="16"/>
              <w:rFonts w:hint="eastAsia" w:ascii="仿宋_GB2312" w:hAnsi="Cambria" w:eastAsia="仿宋_GB2312"/>
              <w:bCs/>
              <w:sz w:val="28"/>
              <w:szCs w:val="28"/>
            </w:rPr>
            <w:t>“三公”经费财政拨款支出决算情况说明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_Toc115798219 \h </w:instrText>
          </w:r>
          <w:r>
            <w:rPr>
              <w:rFonts w:hint="eastAsia" w:ascii="仿宋_GB2312" w:eastAsia="仿宋_GB2312"/>
              <w:sz w:val="28"/>
              <w:szCs w:val="28"/>
            </w:rPr>
            <w:fldChar w:fldCharType="separate"/>
          </w:r>
          <w:r>
            <w:rPr>
              <w:rFonts w:ascii="仿宋_GB2312" w:eastAsia="仿宋_GB2312"/>
              <w:sz w:val="28"/>
              <w:szCs w:val="28"/>
            </w:rPr>
            <w:t>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rPr>
              <w:rFonts w:ascii="仿宋_GB2312" w:eastAsia="仿宋_GB2312" w:hAnsiTheme="minorHAnsi" w:cstheme="minorBidi"/>
              <w:sz w:val="28"/>
              <w:szCs w:val="28"/>
            </w:rPr>
          </w:pPr>
          <w:r>
            <w:fldChar w:fldCharType="begin"/>
          </w:r>
          <w:r>
            <w:instrText xml:space="preserve"> HYPERLINK \l "_Toc115798220" </w:instrText>
          </w:r>
          <w:r>
            <w:fldChar w:fldCharType="separate"/>
          </w:r>
          <w:r>
            <w:rPr>
              <w:rStyle w:val="16"/>
              <w:rFonts w:hint="eastAsia" w:ascii="仿宋_GB2312" w:eastAsia="仿宋_GB2312"/>
              <w:sz w:val="28"/>
              <w:szCs w:val="28"/>
            </w:rPr>
            <w:t>（一）“三公”经费财政拨款支出决算总体情况说明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_Toc115798220 \h </w:instrText>
          </w:r>
          <w:r>
            <w:rPr>
              <w:rFonts w:hint="eastAsia" w:ascii="仿宋_GB2312" w:eastAsia="仿宋_GB2312"/>
              <w:sz w:val="28"/>
              <w:szCs w:val="28"/>
            </w:rPr>
            <w:fldChar w:fldCharType="separate"/>
          </w:r>
          <w:r>
            <w:rPr>
              <w:rFonts w:ascii="仿宋_GB2312" w:eastAsia="仿宋_GB2312"/>
              <w:sz w:val="28"/>
              <w:szCs w:val="28"/>
            </w:rPr>
            <w:t>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rPr>
              <w:rFonts w:ascii="仿宋_GB2312" w:eastAsia="仿宋_GB2312" w:hAnsiTheme="minorHAnsi" w:cstheme="minorBidi"/>
              <w:sz w:val="28"/>
              <w:szCs w:val="28"/>
            </w:rPr>
          </w:pPr>
          <w:r>
            <w:fldChar w:fldCharType="begin"/>
          </w:r>
          <w:r>
            <w:instrText xml:space="preserve"> HYPERLINK \l "_Toc115798221" </w:instrText>
          </w:r>
          <w:r>
            <w:fldChar w:fldCharType="separate"/>
          </w:r>
          <w:r>
            <w:rPr>
              <w:rStyle w:val="16"/>
              <w:rFonts w:hint="eastAsia" w:ascii="仿宋_GB2312" w:eastAsia="仿宋_GB2312"/>
              <w:sz w:val="28"/>
              <w:szCs w:val="28"/>
            </w:rPr>
            <w:t>（二）“三公”经费财政拨款支出决算具体情况说明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_Toc115798221 \h </w:instrText>
          </w:r>
          <w:r>
            <w:rPr>
              <w:rFonts w:hint="eastAsia" w:ascii="仿宋_GB2312" w:eastAsia="仿宋_GB2312"/>
              <w:sz w:val="28"/>
              <w:szCs w:val="28"/>
            </w:rPr>
            <w:fldChar w:fldCharType="separate"/>
          </w:r>
          <w:r>
            <w:rPr>
              <w:rFonts w:ascii="仿宋_GB2312" w:eastAsia="仿宋_GB2312"/>
              <w:sz w:val="28"/>
              <w:szCs w:val="28"/>
            </w:rPr>
            <w:t>6</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"_Toc115798222" </w:instrText>
          </w:r>
          <w:r>
            <w:fldChar w:fldCharType="separate"/>
          </w:r>
          <w:r>
            <w:rPr>
              <w:rStyle w:val="16"/>
              <w:rFonts w:hint="eastAsia" w:ascii="仿宋_GB2312" w:eastAsia="仿宋_GB2312"/>
              <w:sz w:val="28"/>
              <w:szCs w:val="28"/>
            </w:rPr>
            <w:t>八、</w:t>
          </w:r>
          <w:r>
            <w:rPr>
              <w:rStyle w:val="16"/>
              <w:rFonts w:hint="eastAsia" w:ascii="仿宋_GB2312" w:hAnsi="Cambria" w:eastAsia="仿宋_GB2312"/>
              <w:bCs/>
              <w:sz w:val="28"/>
              <w:szCs w:val="28"/>
            </w:rPr>
            <w:t>政府性基金预算支出决算情况说明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_Toc115798222 \h </w:instrText>
          </w:r>
          <w:r>
            <w:rPr>
              <w:rFonts w:hint="eastAsia" w:ascii="仿宋_GB2312" w:eastAsia="仿宋_GB2312"/>
              <w:sz w:val="28"/>
              <w:szCs w:val="28"/>
            </w:rPr>
            <w:fldChar w:fldCharType="separate"/>
          </w:r>
          <w:r>
            <w:rPr>
              <w:rFonts w:ascii="仿宋_GB2312" w:eastAsia="仿宋_GB2312"/>
              <w:sz w:val="28"/>
              <w:szCs w:val="28"/>
            </w:rPr>
            <w:t>7</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"_Toc115798223" </w:instrText>
          </w:r>
          <w:r>
            <w:fldChar w:fldCharType="separate"/>
          </w:r>
          <w:r>
            <w:rPr>
              <w:rStyle w:val="16"/>
              <w:rFonts w:hint="eastAsia" w:ascii="仿宋_GB2312" w:hAnsi="Cambria" w:eastAsia="仿宋_GB2312"/>
              <w:bCs/>
              <w:sz w:val="28"/>
              <w:szCs w:val="28"/>
            </w:rPr>
            <w:t>九、国有资本经营预算支出决算情况说明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_Toc115798223 \h </w:instrText>
          </w:r>
          <w:r>
            <w:rPr>
              <w:rFonts w:hint="eastAsia" w:ascii="仿宋_GB2312" w:eastAsia="仿宋_GB2312"/>
              <w:sz w:val="28"/>
              <w:szCs w:val="28"/>
            </w:rPr>
            <w:fldChar w:fldCharType="separate"/>
          </w:r>
          <w:r>
            <w:rPr>
              <w:rFonts w:ascii="仿宋_GB2312" w:eastAsia="仿宋_GB2312"/>
              <w:sz w:val="28"/>
              <w:szCs w:val="28"/>
            </w:rPr>
            <w:t>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"_Toc115798224" </w:instrText>
          </w:r>
          <w:r>
            <w:fldChar w:fldCharType="separate"/>
          </w:r>
          <w:r>
            <w:rPr>
              <w:rStyle w:val="16"/>
              <w:rFonts w:hint="eastAsia" w:ascii="仿宋_GB2312" w:hAnsi="Cambria" w:eastAsia="仿宋_GB2312"/>
              <w:bCs/>
              <w:sz w:val="28"/>
              <w:szCs w:val="28"/>
            </w:rPr>
            <w:t>十、其他重要事项的情况说明</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_Toc115798224 \h </w:instrText>
          </w:r>
          <w:r>
            <w:rPr>
              <w:rFonts w:hint="eastAsia" w:ascii="仿宋_GB2312" w:eastAsia="仿宋_GB2312"/>
              <w:sz w:val="28"/>
              <w:szCs w:val="28"/>
            </w:rPr>
            <w:fldChar w:fldCharType="separate"/>
          </w:r>
          <w:r>
            <w:rPr>
              <w:rFonts w:ascii="仿宋_GB2312" w:eastAsia="仿宋_GB2312"/>
              <w:sz w:val="28"/>
              <w:szCs w:val="28"/>
            </w:rPr>
            <w:t>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rPr>
              <w:rFonts w:ascii="仿宋_GB2312" w:eastAsia="仿宋_GB2312" w:hAnsiTheme="minorHAnsi" w:cstheme="minorBidi"/>
              <w:sz w:val="28"/>
              <w:szCs w:val="28"/>
            </w:rPr>
          </w:pPr>
          <w:r>
            <w:fldChar w:fldCharType="begin"/>
          </w:r>
          <w:r>
            <w:instrText xml:space="preserve"> HYPERLINK \l "_Toc115798225" </w:instrText>
          </w:r>
          <w:r>
            <w:fldChar w:fldCharType="separate"/>
          </w:r>
          <w:r>
            <w:rPr>
              <w:rStyle w:val="16"/>
              <w:rFonts w:hint="eastAsia" w:ascii="仿宋_GB2312" w:eastAsia="仿宋_GB2312"/>
              <w:sz w:val="28"/>
              <w:szCs w:val="28"/>
            </w:rPr>
            <w:t>（一）机关运行经费支出情况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_Toc115798225 \h </w:instrText>
          </w:r>
          <w:r>
            <w:rPr>
              <w:rFonts w:hint="eastAsia" w:ascii="仿宋_GB2312" w:eastAsia="仿宋_GB2312"/>
              <w:sz w:val="28"/>
              <w:szCs w:val="28"/>
            </w:rPr>
            <w:fldChar w:fldCharType="separate"/>
          </w:r>
          <w:r>
            <w:rPr>
              <w:rFonts w:ascii="仿宋_GB2312" w:eastAsia="仿宋_GB2312"/>
              <w:sz w:val="28"/>
              <w:szCs w:val="28"/>
            </w:rPr>
            <w:t>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rPr>
              <w:rFonts w:ascii="仿宋_GB2312" w:eastAsia="仿宋_GB2312" w:hAnsiTheme="minorHAnsi" w:cstheme="minorBidi"/>
              <w:sz w:val="28"/>
              <w:szCs w:val="28"/>
            </w:rPr>
          </w:pPr>
          <w:r>
            <w:fldChar w:fldCharType="begin"/>
          </w:r>
          <w:r>
            <w:instrText xml:space="preserve"> HYPERLINK \l "_Toc115798226" </w:instrText>
          </w:r>
          <w:r>
            <w:fldChar w:fldCharType="separate"/>
          </w:r>
          <w:r>
            <w:rPr>
              <w:rStyle w:val="16"/>
              <w:rFonts w:hint="eastAsia" w:ascii="仿宋_GB2312" w:eastAsia="仿宋_GB2312"/>
              <w:sz w:val="28"/>
              <w:szCs w:val="28"/>
            </w:rPr>
            <w:t>（二）政府采购支出情况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_Toc115798226 \h </w:instrText>
          </w:r>
          <w:r>
            <w:rPr>
              <w:rFonts w:hint="eastAsia" w:ascii="仿宋_GB2312" w:eastAsia="仿宋_GB2312"/>
              <w:sz w:val="28"/>
              <w:szCs w:val="28"/>
            </w:rPr>
            <w:fldChar w:fldCharType="separate"/>
          </w:r>
          <w:r>
            <w:rPr>
              <w:rFonts w:ascii="仿宋_GB2312" w:eastAsia="仿宋_GB2312"/>
              <w:sz w:val="28"/>
              <w:szCs w:val="28"/>
            </w:rPr>
            <w:t>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rPr>
              <w:rFonts w:ascii="仿宋_GB2312" w:eastAsia="仿宋_GB2312" w:hAnsiTheme="minorHAnsi" w:cstheme="minorBidi"/>
              <w:sz w:val="28"/>
              <w:szCs w:val="28"/>
            </w:rPr>
          </w:pPr>
          <w:r>
            <w:fldChar w:fldCharType="begin"/>
          </w:r>
          <w:r>
            <w:instrText xml:space="preserve"> HYPERLINK \l "_Toc115798227" </w:instrText>
          </w:r>
          <w:r>
            <w:fldChar w:fldCharType="separate"/>
          </w:r>
          <w:r>
            <w:rPr>
              <w:rStyle w:val="16"/>
              <w:rFonts w:hint="eastAsia" w:ascii="仿宋_GB2312" w:eastAsia="仿宋_GB2312"/>
              <w:sz w:val="28"/>
              <w:szCs w:val="28"/>
            </w:rPr>
            <w:t>（三）国有资产占有使用情况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_Toc115798227 \h </w:instrText>
          </w:r>
          <w:r>
            <w:rPr>
              <w:rFonts w:hint="eastAsia" w:ascii="仿宋_GB2312" w:eastAsia="仿宋_GB2312"/>
              <w:sz w:val="28"/>
              <w:szCs w:val="28"/>
            </w:rPr>
            <w:fldChar w:fldCharType="separate"/>
          </w:r>
          <w:r>
            <w:rPr>
              <w:rFonts w:ascii="仿宋_GB2312" w:eastAsia="仿宋_GB2312"/>
              <w:sz w:val="28"/>
              <w:szCs w:val="28"/>
            </w:rPr>
            <w:t>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6"/>
            <w:ind w:left="840"/>
            <w:rPr>
              <w:rFonts w:ascii="仿宋_GB2312" w:eastAsia="仿宋_GB2312" w:hAnsiTheme="minorHAnsi" w:cstheme="minorBidi"/>
              <w:sz w:val="28"/>
              <w:szCs w:val="28"/>
            </w:rPr>
          </w:pPr>
          <w:r>
            <w:fldChar w:fldCharType="begin"/>
          </w:r>
          <w:r>
            <w:instrText xml:space="preserve"> HYPERLINK \l "_Toc115798228" </w:instrText>
          </w:r>
          <w:r>
            <w:fldChar w:fldCharType="separate"/>
          </w:r>
          <w:r>
            <w:rPr>
              <w:rStyle w:val="16"/>
              <w:rFonts w:hint="eastAsia" w:ascii="仿宋_GB2312" w:eastAsia="仿宋_GB2312"/>
              <w:sz w:val="28"/>
              <w:szCs w:val="28"/>
            </w:rPr>
            <w:t>（四）预算绩效管理情况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_Toc115798228 \h </w:instrText>
          </w:r>
          <w:r>
            <w:rPr>
              <w:rFonts w:hint="eastAsia" w:ascii="仿宋_GB2312" w:eastAsia="仿宋_GB2312"/>
              <w:sz w:val="28"/>
              <w:szCs w:val="28"/>
            </w:rPr>
            <w:fldChar w:fldCharType="separate"/>
          </w:r>
          <w:r>
            <w:rPr>
              <w:rFonts w:ascii="仿宋_GB2312" w:eastAsia="仿宋_GB2312"/>
              <w:sz w:val="28"/>
              <w:szCs w:val="28"/>
            </w:rPr>
            <w:t>8</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0"/>
            <w:rPr>
              <w:rFonts w:ascii="仿宋_GB2312" w:eastAsia="仿宋_GB2312" w:hAnsiTheme="minorHAnsi" w:cstheme="minorBidi"/>
            </w:rPr>
          </w:pPr>
          <w:r>
            <w:fldChar w:fldCharType="begin"/>
          </w:r>
          <w:r>
            <w:instrText xml:space="preserve"> HYPERLINK \l "_Toc115798229" </w:instrText>
          </w:r>
          <w:r>
            <w:fldChar w:fldCharType="separate"/>
          </w:r>
          <w:r>
            <w:rPr>
              <w:rStyle w:val="16"/>
              <w:rFonts w:hint="eastAsia" w:ascii="仿宋_GB2312" w:hAnsi="黑体" w:eastAsia="仿宋_GB2312" w:cs="黑体"/>
              <w:bCs/>
              <w:kern w:val="44"/>
            </w:rPr>
            <w:t>第三部分</w:t>
          </w:r>
          <w:r>
            <w:rPr>
              <w:rStyle w:val="16"/>
              <w:rFonts w:hint="eastAsia" w:ascii="仿宋_GB2312" w:eastAsia="仿宋_GB2312"/>
            </w:rPr>
            <w:t xml:space="preserve"> 名</w:t>
          </w:r>
          <w:r>
            <w:rPr>
              <w:rStyle w:val="16"/>
              <w:rFonts w:hint="eastAsia" w:ascii="仿宋_GB2312" w:eastAsia="仿宋_GB2312"/>
              <w:bCs/>
              <w:kern w:val="44"/>
            </w:rPr>
            <w:t>词解释</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_Toc115798229 \h </w:instrText>
          </w:r>
          <w:r>
            <w:rPr>
              <w:rFonts w:hint="eastAsia" w:ascii="仿宋_GB2312" w:eastAsia="仿宋_GB2312"/>
            </w:rPr>
            <w:fldChar w:fldCharType="separate"/>
          </w:r>
          <w:r>
            <w:rPr>
              <w:rFonts w:ascii="仿宋_GB2312" w:eastAsia="仿宋_GB2312"/>
            </w:rPr>
            <w:t>10</w:t>
          </w:r>
          <w:r>
            <w:rPr>
              <w:rFonts w:hint="eastAsia" w:ascii="仿宋_GB2312" w:eastAsia="仿宋_GB2312"/>
            </w:rPr>
            <w:fldChar w:fldCharType="end"/>
          </w:r>
          <w:r>
            <w:rPr>
              <w:rFonts w:hint="eastAsia" w:ascii="仿宋_GB2312" w:eastAsia="仿宋_GB2312"/>
            </w:rPr>
            <w:fldChar w:fldCharType="end"/>
          </w:r>
        </w:p>
        <w:p>
          <w:pPr>
            <w:pStyle w:val="10"/>
            <w:rPr>
              <w:rFonts w:ascii="仿宋_GB2312" w:eastAsia="仿宋_GB2312" w:hAnsiTheme="minorHAnsi" w:cstheme="minorBidi"/>
            </w:rPr>
          </w:pPr>
          <w:r>
            <w:fldChar w:fldCharType="begin"/>
          </w:r>
          <w:r>
            <w:instrText xml:space="preserve"> HYPERLINK \l "_Toc115798230" </w:instrText>
          </w:r>
          <w:r>
            <w:fldChar w:fldCharType="separate"/>
          </w:r>
          <w:r>
            <w:rPr>
              <w:rStyle w:val="16"/>
              <w:rFonts w:hint="eastAsia" w:ascii="仿宋_GB2312" w:eastAsia="仿宋_GB2312"/>
            </w:rPr>
            <w:t>第</w:t>
          </w:r>
          <w:r>
            <w:rPr>
              <w:rStyle w:val="16"/>
              <w:rFonts w:hint="eastAsia" w:ascii="仿宋_GB2312" w:eastAsia="仿宋_GB2312"/>
              <w:bCs/>
              <w:kern w:val="44"/>
            </w:rPr>
            <w:t>四部分 附件</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_Toc115798230 \h </w:instrText>
          </w:r>
          <w:r>
            <w:rPr>
              <w:rFonts w:hint="eastAsia" w:ascii="仿宋_GB2312" w:eastAsia="仿宋_GB2312"/>
            </w:rPr>
            <w:fldChar w:fldCharType="separate"/>
          </w:r>
          <w:r>
            <w:rPr>
              <w:rFonts w:ascii="仿宋_GB2312" w:eastAsia="仿宋_GB2312"/>
            </w:rPr>
            <w:t>13</w:t>
          </w:r>
          <w:r>
            <w:rPr>
              <w:rFonts w:hint="eastAsia" w:ascii="仿宋_GB2312" w:eastAsia="仿宋_GB2312"/>
            </w:rPr>
            <w:fldChar w:fldCharType="end"/>
          </w:r>
          <w:r>
            <w:rPr>
              <w:rFonts w:hint="eastAsia" w:ascii="仿宋_GB2312" w:eastAsia="仿宋_GB2312"/>
            </w:rPr>
            <w:fldChar w:fldCharType="end"/>
          </w:r>
        </w:p>
        <w:p>
          <w:pPr>
            <w:pStyle w:val="10"/>
            <w:rPr>
              <w:rFonts w:ascii="仿宋_GB2312" w:eastAsia="仿宋_GB2312" w:hAnsiTheme="minorHAnsi" w:cstheme="minorBidi"/>
            </w:rPr>
          </w:pPr>
          <w:r>
            <w:fldChar w:fldCharType="begin"/>
          </w:r>
          <w:r>
            <w:instrText xml:space="preserve"> HYPERLINK \l "_Toc115798231" </w:instrText>
          </w:r>
          <w:r>
            <w:fldChar w:fldCharType="separate"/>
          </w:r>
          <w:r>
            <w:rPr>
              <w:rStyle w:val="16"/>
              <w:rFonts w:hint="eastAsia" w:ascii="仿宋_GB2312" w:eastAsia="仿宋_GB2312"/>
            </w:rPr>
            <w:t>第</w:t>
          </w:r>
          <w:r>
            <w:rPr>
              <w:rStyle w:val="16"/>
              <w:rFonts w:hint="eastAsia" w:ascii="仿宋_GB2312" w:eastAsia="仿宋_GB2312"/>
              <w:bCs/>
              <w:kern w:val="44"/>
            </w:rPr>
            <w:t>五部分 附表</w:t>
          </w:r>
          <w:r>
            <w:rPr>
              <w:rFonts w:hint="eastAsia" w:ascii="仿宋_GB2312" w:eastAsia="仿宋_GB2312"/>
            </w:rPr>
            <w:tab/>
          </w:r>
          <w:r>
            <w:rPr>
              <w:rFonts w:hint="eastAsia" w:ascii="仿宋_GB2312" w:eastAsia="仿宋_GB2312"/>
            </w:rPr>
            <w:fldChar w:fldCharType="begin"/>
          </w:r>
          <w:r>
            <w:rPr>
              <w:rFonts w:hint="eastAsia" w:ascii="仿宋_GB2312" w:eastAsia="仿宋_GB2312"/>
            </w:rPr>
            <w:instrText xml:space="preserve"> PAGEREF _Toc115798231 \h </w:instrText>
          </w:r>
          <w:r>
            <w:rPr>
              <w:rFonts w:hint="eastAsia" w:ascii="仿宋_GB2312" w:eastAsia="仿宋_GB2312"/>
            </w:rPr>
            <w:fldChar w:fldCharType="separate"/>
          </w:r>
          <w:r>
            <w:rPr>
              <w:rFonts w:ascii="仿宋_GB2312" w:eastAsia="仿宋_GB2312"/>
            </w:rPr>
            <w:t>14</w:t>
          </w:r>
          <w:r>
            <w:rPr>
              <w:rFonts w:hint="eastAsia" w:ascii="仿宋_GB2312" w:eastAsia="仿宋_GB2312"/>
            </w:rPr>
            <w:fldChar w:fldCharType="end"/>
          </w:r>
          <w:r>
            <w:rPr>
              <w:rFonts w:hint="eastAsia" w:ascii="仿宋_GB2312" w:eastAsia="仿宋_GB2312"/>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"_Toc115798232" </w:instrText>
          </w:r>
          <w:r>
            <w:fldChar w:fldCharType="separate"/>
          </w:r>
          <w:r>
            <w:rPr>
              <w:rStyle w:val="16"/>
              <w:rFonts w:hint="eastAsia" w:ascii="仿宋_GB2312" w:eastAsia="仿宋_GB2312"/>
              <w:sz w:val="28"/>
              <w:szCs w:val="28"/>
            </w:rPr>
            <w:t>一、收入支出决算总表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_Toc115798232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"_Toc115798233" </w:instrText>
          </w:r>
          <w:r>
            <w:fldChar w:fldCharType="separate"/>
          </w:r>
          <w:r>
            <w:rPr>
              <w:rStyle w:val="16"/>
              <w:rFonts w:hint="eastAsia" w:ascii="仿宋_GB2312" w:eastAsia="仿宋_GB2312"/>
              <w:sz w:val="28"/>
              <w:szCs w:val="28"/>
            </w:rPr>
            <w:t>二、收入决算表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_Toc115798233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"_Toc115798234" </w:instrText>
          </w:r>
          <w:r>
            <w:fldChar w:fldCharType="separate"/>
          </w:r>
          <w:r>
            <w:rPr>
              <w:rStyle w:val="16"/>
              <w:rFonts w:hint="eastAsia" w:ascii="仿宋_GB2312" w:eastAsia="仿宋_GB2312"/>
              <w:sz w:val="28"/>
              <w:szCs w:val="28"/>
            </w:rPr>
            <w:t>三、支出决算表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_Toc115798234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"_Toc115798235" </w:instrText>
          </w:r>
          <w:r>
            <w:fldChar w:fldCharType="separate"/>
          </w:r>
          <w:r>
            <w:rPr>
              <w:rStyle w:val="16"/>
              <w:rFonts w:hint="eastAsia" w:ascii="仿宋_GB2312" w:eastAsia="仿宋_GB2312"/>
              <w:sz w:val="28"/>
              <w:szCs w:val="28"/>
            </w:rPr>
            <w:t>四、财政拨款收入支出决算总表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_Toc115798235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"_Toc115798236" </w:instrText>
          </w:r>
          <w:r>
            <w:fldChar w:fldCharType="separate"/>
          </w:r>
          <w:r>
            <w:rPr>
              <w:rStyle w:val="16"/>
              <w:rFonts w:hint="eastAsia" w:ascii="仿宋_GB2312" w:eastAsia="仿宋_GB2312"/>
              <w:sz w:val="28"/>
              <w:szCs w:val="28"/>
            </w:rPr>
            <w:t>五、财政拨款支出决算明细表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_Toc115798236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"_Toc115798237" </w:instrText>
          </w:r>
          <w:r>
            <w:fldChar w:fldCharType="separate"/>
          </w:r>
          <w:r>
            <w:rPr>
              <w:rStyle w:val="16"/>
              <w:rFonts w:hint="eastAsia" w:ascii="仿宋_GB2312" w:eastAsia="仿宋_GB2312"/>
              <w:sz w:val="28"/>
              <w:szCs w:val="28"/>
            </w:rPr>
            <w:t>六、一般公共预算财政拨款支出决算表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_Toc115798237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"_Toc115798238" </w:instrText>
          </w:r>
          <w:r>
            <w:fldChar w:fldCharType="separate"/>
          </w:r>
          <w:r>
            <w:rPr>
              <w:rStyle w:val="16"/>
              <w:rFonts w:hint="eastAsia" w:ascii="仿宋_GB2312" w:eastAsia="仿宋_GB2312"/>
              <w:sz w:val="28"/>
              <w:szCs w:val="28"/>
            </w:rPr>
            <w:t>七、一般公共预算财政拨款支出决算明细表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_Toc115798238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"_Toc115798239" </w:instrText>
          </w:r>
          <w:r>
            <w:fldChar w:fldCharType="separate"/>
          </w:r>
          <w:r>
            <w:rPr>
              <w:rStyle w:val="16"/>
              <w:rFonts w:hint="eastAsia" w:ascii="仿宋_GB2312" w:eastAsia="仿宋_GB2312"/>
              <w:sz w:val="28"/>
              <w:szCs w:val="28"/>
            </w:rPr>
            <w:t>八、一般公共预算财政拨款基本支出决算表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_Toc115798239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"_Toc115798240" </w:instrText>
          </w:r>
          <w:r>
            <w:fldChar w:fldCharType="separate"/>
          </w:r>
          <w:r>
            <w:rPr>
              <w:rStyle w:val="16"/>
              <w:rFonts w:hint="eastAsia" w:ascii="仿宋_GB2312" w:eastAsia="仿宋_GB2312"/>
              <w:sz w:val="28"/>
              <w:szCs w:val="28"/>
            </w:rPr>
            <w:t>九、一般公共预算财政拨款项目支出决算表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_Toc115798240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"_Toc115798241" </w:instrText>
          </w:r>
          <w:r>
            <w:fldChar w:fldCharType="separate"/>
          </w:r>
          <w:r>
            <w:rPr>
              <w:rStyle w:val="16"/>
              <w:rFonts w:hint="eastAsia" w:ascii="仿宋_GB2312" w:eastAsia="仿宋_GB2312"/>
              <w:sz w:val="28"/>
              <w:szCs w:val="28"/>
            </w:rPr>
            <w:t>十、一般公共预算财政拨款“三公”经费支出决算表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_Toc115798241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"_Toc115798242" </w:instrText>
          </w:r>
          <w:r>
            <w:fldChar w:fldCharType="separate"/>
          </w:r>
          <w:r>
            <w:rPr>
              <w:rStyle w:val="16"/>
              <w:rFonts w:hint="eastAsia" w:ascii="仿宋_GB2312" w:eastAsia="仿宋_GB2312"/>
              <w:sz w:val="28"/>
              <w:szCs w:val="28"/>
            </w:rPr>
            <w:t>十一、政府性基金预算财政拨款收入支出决算表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_Toc115798242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"_Toc115798243" </w:instrText>
          </w:r>
          <w:r>
            <w:fldChar w:fldCharType="separate"/>
          </w:r>
          <w:r>
            <w:rPr>
              <w:rStyle w:val="16"/>
              <w:rFonts w:hint="eastAsia" w:ascii="仿宋_GB2312" w:eastAsia="仿宋_GB2312"/>
              <w:sz w:val="28"/>
              <w:szCs w:val="28"/>
            </w:rPr>
            <w:t>十二、政府性基金预算财政拨款“三公”经费支出决算表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_Toc115798243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"_Toc115798244" </w:instrText>
          </w:r>
          <w:r>
            <w:fldChar w:fldCharType="separate"/>
          </w:r>
          <w:r>
            <w:rPr>
              <w:rStyle w:val="16"/>
              <w:rFonts w:hint="eastAsia" w:ascii="仿宋_GB2312" w:eastAsia="仿宋_GB2312"/>
              <w:sz w:val="28"/>
              <w:szCs w:val="28"/>
            </w:rPr>
            <w:t>十三、国有资本经营预算财政拨款收入支出决算表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_Toc115798244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pStyle w:val="11"/>
            <w:ind w:left="420"/>
            <w:rPr>
              <w:rFonts w:ascii="仿宋_GB2312" w:eastAsia="仿宋_GB2312" w:hAnsiTheme="minorHAnsi" w:cstheme="minorBidi"/>
              <w:sz w:val="28"/>
              <w:szCs w:val="28"/>
            </w:rPr>
          </w:pPr>
          <w:r>
            <w:fldChar w:fldCharType="begin"/>
          </w:r>
          <w:r>
            <w:instrText xml:space="preserve"> HYPERLINK \l "_Toc115798245" </w:instrText>
          </w:r>
          <w:r>
            <w:fldChar w:fldCharType="separate"/>
          </w:r>
          <w:r>
            <w:rPr>
              <w:rStyle w:val="16"/>
              <w:rFonts w:hint="eastAsia" w:ascii="仿宋_GB2312" w:eastAsia="仿宋_GB2312"/>
              <w:sz w:val="28"/>
              <w:szCs w:val="28"/>
            </w:rPr>
            <w:t>十四、国有资本经营预算财政拨款支出决算表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_Toc115798245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rPr>
              <w:rFonts w:hint="eastAsia" w:ascii="仿宋_GB2312" w:eastAsia="仿宋_GB2312"/>
              <w:sz w:val="28"/>
              <w:szCs w:val="28"/>
            </w:rPr>
            <w:fldChar w:fldCharType="end"/>
          </w:r>
        </w:p>
        <w:p>
          <w:pPr>
            <w:rPr>
              <w:rFonts w:ascii="仿宋_GB2312" w:eastAsia="仿宋_GB2312"/>
              <w:sz w:val="28"/>
              <w:szCs w:val="28"/>
            </w:rPr>
          </w:pPr>
          <w:r>
            <w:rPr>
              <w:rFonts w:hint="eastAsia" w:ascii="仿宋_GB2312" w:eastAsia="仿宋_GB2312"/>
              <w:bCs/>
              <w:sz w:val="28"/>
              <w:szCs w:val="28"/>
              <w:lang w:val="zh-CN"/>
            </w:rPr>
            <w:fldChar w:fldCharType="end"/>
          </w:r>
        </w:p>
      </w:sdtContent>
    </w:sdt>
    <w:p>
      <w:pPr>
        <w:widowControl/>
        <w:jc w:val="center"/>
        <w:rPr>
          <w:rFonts w:ascii="仿宋" w:eastAsia="仿宋"/>
          <w:bCs/>
          <w:kern w:val="44"/>
          <w:sz w:val="24"/>
        </w:rPr>
      </w:pPr>
      <w:r>
        <w:rPr>
          <w:rFonts w:ascii="黑体" w:eastAsia="黑体"/>
          <w:sz w:val="48"/>
          <w:szCs w:val="48"/>
        </w:rPr>
        <w:t xml:space="preserve"> </w:t>
      </w:r>
      <w:bookmarkStart w:id="15" w:name="_Toc15377196"/>
      <w:bookmarkStart w:id="16" w:name="_Toc15396599"/>
    </w:p>
    <w:p>
      <w:pPr>
        <w:pStyle w:val="3"/>
        <w:jc w:val="center"/>
        <w:rPr>
          <w:rFonts w:ascii="黑体" w:eastAsia="黑体"/>
          <w:b w:val="0"/>
        </w:rPr>
        <w:sectPr>
          <w:footerReference r:id="rId4" w:type="first"/>
          <w:footerReference r:id="rId3" w:type="default"/>
          <w:pgSz w:w="11906" w:h="16838"/>
          <w:pgMar w:top="1440" w:right="1800" w:bottom="1440" w:left="1800" w:header="851" w:footer="992" w:gutter="0"/>
          <w:pgNumType w:start="1"/>
          <w:cols w:space="720" w:num="1"/>
          <w:titlePg/>
          <w:docGrid w:type="lines" w:linePitch="312" w:charSpace="0"/>
        </w:sectPr>
      </w:pPr>
      <w:bookmarkStart w:id="17" w:name="_Toc115798206"/>
    </w:p>
    <w:p>
      <w:pPr>
        <w:pStyle w:val="3"/>
        <w:jc w:val="center"/>
        <w:rPr>
          <w:rStyle w:val="17"/>
          <w:rFonts w:ascii="黑体" w:eastAsia="黑体"/>
          <w:b/>
          <w:bCs w:val="0"/>
        </w:rPr>
      </w:pPr>
      <w:r>
        <w:rPr>
          <w:rFonts w:hint="eastAsia" w:ascii="黑体" w:eastAsia="黑体"/>
          <w:b w:val="0"/>
        </w:rPr>
        <w:t>第一部分 单位</w:t>
      </w:r>
      <w:r>
        <w:rPr>
          <w:rStyle w:val="17"/>
          <w:rFonts w:hint="eastAsia" w:ascii="黑体" w:eastAsia="黑体"/>
          <w:b w:val="0"/>
          <w:bCs w:val="0"/>
        </w:rPr>
        <w:t>概况</w:t>
      </w:r>
      <w:bookmarkEnd w:id="15"/>
      <w:bookmarkEnd w:id="16"/>
      <w:bookmarkEnd w:id="17"/>
    </w:p>
    <w:p>
      <w:pPr>
        <w:pStyle w:val="4"/>
        <w:spacing w:before="0" w:after="0" w:line="700" w:lineRule="exact"/>
        <w:ind w:firstLine="640" w:firstLineChars="200"/>
        <w:rPr>
          <w:rStyle w:val="18"/>
          <w:rFonts w:ascii="黑体" w:eastAsia="黑体"/>
          <w:b w:val="0"/>
          <w:bCs w:val="0"/>
        </w:rPr>
      </w:pPr>
      <w:bookmarkStart w:id="18" w:name="_Toc115798207"/>
      <w:bookmarkStart w:id="19" w:name="_Toc15377197"/>
      <w:bookmarkStart w:id="20" w:name="_Toc15396600"/>
      <w:r>
        <w:rPr>
          <w:rStyle w:val="18"/>
          <w:rFonts w:hint="eastAsia" w:ascii="黑体" w:eastAsia="黑体"/>
          <w:b w:val="0"/>
          <w:bCs w:val="0"/>
        </w:rPr>
        <w:t>一、职能简介</w:t>
      </w:r>
      <w:bookmarkEnd w:id="18"/>
    </w:p>
    <w:p>
      <w:pPr>
        <w:spacing w:line="700" w:lineRule="exact"/>
        <w:ind w:firstLine="640" w:firstLineChars="200"/>
        <w:rPr>
          <w:rFonts w:ascii="宋体" w:hAnsi="宋体" w:cs="宋体"/>
          <w:kern w:val="0"/>
          <w:sz w:val="32"/>
          <w:szCs w:val="32"/>
          <w:shd w:val="clear" w:color="auto" w:fill="FFFFFF"/>
          <w:lang w:bidi="ar"/>
        </w:rPr>
      </w:pPr>
      <w:r>
        <w:rPr>
          <w:rFonts w:hint="eastAsia" w:ascii="宋体" w:hAnsi="宋体" w:cs="宋体"/>
          <w:kern w:val="0"/>
          <w:sz w:val="32"/>
          <w:szCs w:val="32"/>
          <w:shd w:val="clear" w:color="auto" w:fill="FFFFFF"/>
          <w:lang w:bidi="ar"/>
        </w:rPr>
        <w:t>在全州范围内开展党的路线、方针、政策宣讲、理论宣传、理论教育、理论研究。</w:t>
      </w:r>
    </w:p>
    <w:p>
      <w:pPr>
        <w:pStyle w:val="4"/>
        <w:spacing w:before="0" w:after="0" w:line="700" w:lineRule="exact"/>
        <w:ind w:firstLine="640" w:firstLineChars="200"/>
        <w:rPr>
          <w:rFonts w:ascii="黑体" w:eastAsia="黑体"/>
          <w:b w:val="0"/>
        </w:rPr>
      </w:pPr>
      <w:bookmarkStart w:id="21" w:name="_Toc115798208"/>
      <w:r>
        <w:rPr>
          <w:rFonts w:hint="eastAsia" w:ascii="黑体" w:eastAsia="黑体"/>
          <w:b w:val="0"/>
        </w:rPr>
        <w:t>二、2021年重点工作</w:t>
      </w:r>
      <w:bookmarkEnd w:id="19"/>
      <w:bookmarkEnd w:id="20"/>
      <w:r>
        <w:rPr>
          <w:rFonts w:hint="eastAsia" w:ascii="黑体" w:eastAsia="黑体"/>
          <w:b w:val="0"/>
        </w:rPr>
        <w:t>完成情况</w:t>
      </w:r>
      <w:bookmarkEnd w:id="21"/>
    </w:p>
    <w:p>
      <w:pPr>
        <w:spacing w:line="700" w:lineRule="exact"/>
        <w:ind w:firstLine="640" w:firstLineChars="200"/>
        <w:rPr>
          <w:rFonts w:ascii="宋体" w:hAnsi="宋体" w:cs="宋体"/>
          <w:kern w:val="0"/>
          <w:sz w:val="32"/>
          <w:szCs w:val="32"/>
          <w:shd w:val="clear" w:color="auto" w:fill="FFFFFF"/>
          <w:lang w:bidi="ar"/>
        </w:rPr>
      </w:pPr>
      <w:r>
        <w:rPr>
          <w:rFonts w:hint="eastAsia" w:ascii="宋体" w:hAnsi="宋体" w:cs="宋体"/>
          <w:kern w:val="0"/>
          <w:sz w:val="32"/>
          <w:szCs w:val="32"/>
          <w:shd w:val="clear" w:color="auto" w:fill="FFFFFF"/>
          <w:lang w:bidi="ar"/>
        </w:rPr>
        <w:t>一是创建“1+13+N”理论宣讲体系；二是广泛开展形式政策宣讲；三是加强州县联动，提升宣讲水平；四是编印宣讲读本，助力机关党员干部学习贯彻重要会议精神；五是订购学习图书，助推学习贯彻十九届四中全会精神；六是参加并组织理论宣讲骨干培训，为宣讲储备人力资源；七是坚持统筹联动，抓好“学习强国”平台推广使用。</w:t>
      </w:r>
    </w:p>
    <w:p/>
    <w:p>
      <w:pPr>
        <w:widowControl/>
        <w:jc w:val="left"/>
        <w:rPr>
          <w:rFonts w:ascii="仿宋" w:eastAsia="仿宋"/>
          <w:kern w:val="0"/>
          <w:sz w:val="32"/>
          <w:szCs w:val="32"/>
        </w:rPr>
      </w:pPr>
      <w:r>
        <w:rPr>
          <w:rFonts w:ascii="仿宋" w:eastAsia="仿宋"/>
          <w:sz w:val="32"/>
          <w:szCs w:val="32"/>
        </w:rPr>
        <w:br w:type="page"/>
      </w:r>
    </w:p>
    <w:p>
      <w:pPr>
        <w:pStyle w:val="3"/>
        <w:ind w:right="440"/>
        <w:jc w:val="center"/>
        <w:rPr>
          <w:rStyle w:val="17"/>
          <w:rFonts w:ascii="黑体" w:eastAsia="黑体"/>
          <w:b w:val="0"/>
          <w:bCs/>
        </w:rPr>
      </w:pPr>
      <w:bookmarkStart w:id="22" w:name="_Toc15396602"/>
      <w:bookmarkStart w:id="23" w:name="_Toc15377204"/>
      <w:bookmarkStart w:id="24" w:name="_Toc115798209"/>
      <w:r>
        <w:rPr>
          <w:rFonts w:hint="eastAsia" w:ascii="黑体" w:eastAsia="黑体"/>
          <w:b w:val="0"/>
        </w:rPr>
        <w:t>第二部分 2021年度</w:t>
      </w:r>
      <w:r>
        <w:rPr>
          <w:rStyle w:val="17"/>
          <w:rFonts w:hint="eastAsia" w:ascii="黑体" w:eastAsia="黑体"/>
          <w:b w:val="0"/>
          <w:bCs/>
        </w:rPr>
        <w:t>单位决算情况说明</w:t>
      </w:r>
      <w:bookmarkEnd w:id="22"/>
      <w:bookmarkEnd w:id="23"/>
      <w:bookmarkEnd w:id="24"/>
    </w:p>
    <w:p/>
    <w:p>
      <w:pPr>
        <w:pStyle w:val="23"/>
        <w:numPr>
          <w:ilvl w:val="0"/>
          <w:numId w:val="1"/>
        </w:numPr>
        <w:spacing w:line="600" w:lineRule="exact"/>
        <w:ind w:firstLineChars="0"/>
        <w:outlineLvl w:val="1"/>
        <w:rPr>
          <w:rStyle w:val="18"/>
          <w:rFonts w:ascii="黑体" w:eastAsia="黑体"/>
          <w:b w:val="0"/>
        </w:rPr>
      </w:pPr>
      <w:bookmarkStart w:id="25" w:name="_Toc15377205"/>
      <w:bookmarkStart w:id="26" w:name="_Toc15396603"/>
      <w:bookmarkStart w:id="27" w:name="_Toc115798210"/>
      <w:r>
        <w:rPr>
          <w:rFonts w:hint="eastAsia" w:ascii="黑体" w:eastAsia="黑体"/>
          <w:sz w:val="32"/>
          <w:szCs w:val="32"/>
        </w:rPr>
        <w:t>收</w:t>
      </w:r>
      <w:r>
        <w:rPr>
          <w:rStyle w:val="18"/>
          <w:rFonts w:hint="eastAsia" w:ascii="黑体" w:eastAsia="黑体"/>
          <w:b w:val="0"/>
        </w:rPr>
        <w:t>入支出决算总体情况说明</w:t>
      </w:r>
      <w:bookmarkEnd w:id="25"/>
      <w:bookmarkEnd w:id="26"/>
      <w:bookmarkEnd w:id="27"/>
    </w:p>
    <w:p>
      <w:pPr>
        <w:spacing w:line="600" w:lineRule="exact"/>
        <w:ind w:firstLine="640" w:firstLineChars="200"/>
        <w:rPr>
          <w:rFonts w:ascii="仿宋" w:eastAsia="仿宋"/>
          <w:sz w:val="32"/>
          <w:szCs w:val="32"/>
        </w:rPr>
      </w:pPr>
      <w:r>
        <w:rPr>
          <w:rFonts w:hint="eastAsia" w:ascii="仿宋" w:eastAsia="仿宋"/>
          <w:sz w:val="32"/>
          <w:szCs w:val="32"/>
        </w:rPr>
        <w:t>2021年度收、支总计170.21万元。与2020年相比，收、支总计各增加30.37万元，增长21.72</w:t>
      </w:r>
      <w:r>
        <w:rPr>
          <w:rFonts w:ascii="仿宋" w:eastAsia="仿宋"/>
          <w:sz w:val="32"/>
          <w:szCs w:val="32"/>
        </w:rPr>
        <w:t>%</w:t>
      </w:r>
      <w:r>
        <w:rPr>
          <w:rFonts w:hint="eastAsia" w:ascii="仿宋" w:eastAsia="仿宋"/>
          <w:sz w:val="32"/>
          <w:szCs w:val="32"/>
        </w:rPr>
        <w:t>。主要变动原因是新调1人，五险调整。</w:t>
      </w:r>
    </w:p>
    <w:p>
      <w:pPr>
        <w:jc w:val="center"/>
      </w:pPr>
      <w:r>
        <w:drawing>
          <wp:inline distT="0" distB="0" distL="114300" distR="114300">
            <wp:extent cx="3849370" cy="1514475"/>
            <wp:effectExtent l="4445" t="5080" r="13335" b="4445"/>
            <wp:docPr id="105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pPr>
        <w:pStyle w:val="23"/>
        <w:numPr>
          <w:ilvl w:val="0"/>
          <w:numId w:val="1"/>
        </w:numPr>
        <w:spacing w:line="600" w:lineRule="exact"/>
        <w:ind w:firstLineChars="0"/>
        <w:outlineLvl w:val="1"/>
        <w:rPr>
          <w:rStyle w:val="18"/>
          <w:rFonts w:ascii="黑体" w:eastAsia="黑体"/>
          <w:b w:val="0"/>
        </w:rPr>
      </w:pPr>
      <w:bookmarkStart w:id="28" w:name="_Toc15377206"/>
      <w:bookmarkStart w:id="29" w:name="_Toc15396604"/>
      <w:bookmarkStart w:id="30" w:name="_Toc115798211"/>
      <w:r>
        <w:rPr>
          <w:rFonts w:hint="eastAsia" w:ascii="黑体" w:eastAsia="黑体"/>
          <w:sz w:val="32"/>
          <w:szCs w:val="32"/>
        </w:rPr>
        <w:t>收</w:t>
      </w:r>
      <w:r>
        <w:rPr>
          <w:rStyle w:val="18"/>
          <w:rFonts w:hint="eastAsia" w:ascii="黑体" w:eastAsia="黑体"/>
          <w:b w:val="0"/>
        </w:rPr>
        <w:t>入决算情况说明</w:t>
      </w:r>
      <w:bookmarkEnd w:id="28"/>
      <w:bookmarkEnd w:id="29"/>
      <w:bookmarkEnd w:id="30"/>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21年本年收入合计170.21万元，其中：一般公共预算财政拨款收入170.21万元，占100</w:t>
      </w:r>
      <w:r>
        <w:rPr>
          <w:rFonts w:ascii="仿宋" w:eastAsia="仿宋"/>
          <w:sz w:val="32"/>
          <w:szCs w:val="32"/>
        </w:rPr>
        <w:t>%</w:t>
      </w:r>
      <w:r>
        <w:rPr>
          <w:rFonts w:hint="eastAsia" w:ascii="仿宋" w:eastAsia="仿宋"/>
          <w:sz w:val="32"/>
          <w:szCs w:val="32"/>
        </w:rPr>
        <w:t>。</w:t>
      </w:r>
    </w:p>
    <w:p>
      <w:pPr>
        <w:jc w:val="center"/>
      </w:pPr>
      <w:r>
        <w:drawing>
          <wp:inline distT="0" distB="0" distL="114300" distR="114300">
            <wp:extent cx="3467735" cy="1152525"/>
            <wp:effectExtent l="4445" t="4445" r="13970" b="5080"/>
            <wp:docPr id="106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ascii="仿宋" w:eastAsia="仿宋"/>
          <w:bCs/>
          <w:color w:val="000000"/>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p>
    <w:p>
      <w:pPr>
        <w:pStyle w:val="23"/>
        <w:numPr>
          <w:ilvl w:val="0"/>
          <w:numId w:val="1"/>
        </w:numPr>
        <w:spacing w:line="600" w:lineRule="exact"/>
        <w:ind w:firstLineChars="0"/>
        <w:outlineLvl w:val="1"/>
        <w:rPr>
          <w:rStyle w:val="18"/>
          <w:rFonts w:ascii="黑体" w:eastAsia="黑体"/>
          <w:b w:val="0"/>
        </w:rPr>
      </w:pPr>
      <w:bookmarkStart w:id="31" w:name="_Toc15396605"/>
      <w:bookmarkStart w:id="32" w:name="_Toc115798212"/>
      <w:bookmarkStart w:id="33" w:name="_Toc15377207"/>
      <w:r>
        <w:rPr>
          <w:rFonts w:hint="eastAsia" w:ascii="黑体" w:eastAsia="黑体"/>
          <w:sz w:val="32"/>
          <w:szCs w:val="32"/>
        </w:rPr>
        <w:t>支</w:t>
      </w:r>
      <w:r>
        <w:rPr>
          <w:rStyle w:val="18"/>
          <w:rFonts w:hint="eastAsia" w:ascii="黑体" w:eastAsia="黑体"/>
          <w:b w:val="0"/>
        </w:rPr>
        <w:t>出决算情况说明</w:t>
      </w:r>
      <w:bookmarkEnd w:id="31"/>
      <w:bookmarkEnd w:id="32"/>
      <w:bookmarkEnd w:id="33"/>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21年本年支出合计170.21万元，其中：基本支出153.97万元，占90.46</w:t>
      </w:r>
      <w:r>
        <w:rPr>
          <w:rFonts w:ascii="仿宋" w:eastAsia="仿宋"/>
          <w:sz w:val="32"/>
          <w:szCs w:val="32"/>
        </w:rPr>
        <w:t>%</w:t>
      </w:r>
      <w:r>
        <w:rPr>
          <w:rFonts w:hint="eastAsia" w:ascii="仿宋" w:eastAsia="仿宋"/>
          <w:sz w:val="32"/>
          <w:szCs w:val="32"/>
        </w:rPr>
        <w:t>；项目支出16.24万元，占9.54</w:t>
      </w:r>
      <w:r>
        <w:rPr>
          <w:rFonts w:ascii="仿宋" w:eastAsia="仿宋"/>
          <w:sz w:val="32"/>
          <w:szCs w:val="32"/>
        </w:rPr>
        <w:t>%</w:t>
      </w:r>
      <w:r>
        <w:rPr>
          <w:rFonts w:hint="eastAsia" w:ascii="仿宋" w:eastAsia="仿宋"/>
          <w:sz w:val="32"/>
          <w:szCs w:val="32"/>
        </w:rPr>
        <w:t>。</w:t>
      </w:r>
    </w:p>
    <w:p>
      <w:pPr>
        <w:jc w:val="center"/>
      </w:pPr>
      <w:r>
        <w:drawing>
          <wp:inline distT="0" distB="0" distL="114300" distR="114300">
            <wp:extent cx="3695700" cy="1990725"/>
            <wp:effectExtent l="4445" t="4445" r="14605" b="5080"/>
            <wp:docPr id="106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pPr>
        <w:spacing w:line="600" w:lineRule="exact"/>
        <w:ind w:firstLine="640" w:firstLineChars="200"/>
        <w:outlineLvl w:val="1"/>
        <w:rPr>
          <w:rStyle w:val="18"/>
          <w:rFonts w:ascii="黑体" w:eastAsia="黑体"/>
          <w:b w:val="0"/>
        </w:rPr>
      </w:pPr>
      <w:bookmarkStart w:id="34" w:name="_Toc115798213"/>
      <w:bookmarkStart w:id="35" w:name="_Toc15377208"/>
      <w:bookmarkStart w:id="36" w:name="_Toc15396606"/>
      <w:r>
        <w:rPr>
          <w:rFonts w:hint="eastAsia" w:ascii="黑体" w:eastAsia="黑体"/>
          <w:sz w:val="32"/>
          <w:szCs w:val="32"/>
        </w:rPr>
        <w:t>四、财</w:t>
      </w:r>
      <w:r>
        <w:rPr>
          <w:rStyle w:val="18"/>
          <w:rFonts w:hint="eastAsia" w:ascii="黑体" w:eastAsia="黑体"/>
          <w:b w:val="0"/>
        </w:rPr>
        <w:t>政拨款收入支出决算总体情况说明</w:t>
      </w:r>
      <w:bookmarkEnd w:id="34"/>
      <w:bookmarkEnd w:id="35"/>
      <w:bookmarkEnd w:id="36"/>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21年财政拨款收、支总计170.21万元。与</w:t>
      </w:r>
      <w:r>
        <w:rPr>
          <w:rFonts w:ascii="仿宋" w:eastAsia="仿宋"/>
          <w:sz w:val="32"/>
          <w:szCs w:val="32"/>
        </w:rPr>
        <w:t>20</w:t>
      </w:r>
      <w:r>
        <w:rPr>
          <w:rFonts w:hint="eastAsia" w:ascii="仿宋" w:eastAsia="仿宋"/>
          <w:sz w:val="32"/>
          <w:szCs w:val="32"/>
        </w:rPr>
        <w:t>20年相比，财政拨款收、支总计各增加30.37万元，增长21.72</w:t>
      </w:r>
      <w:r>
        <w:rPr>
          <w:rFonts w:ascii="仿宋" w:eastAsia="仿宋"/>
          <w:sz w:val="32"/>
          <w:szCs w:val="32"/>
        </w:rPr>
        <w:t>%</w:t>
      </w:r>
      <w:r>
        <w:rPr>
          <w:rFonts w:hint="eastAsia" w:ascii="仿宋" w:eastAsia="仿宋"/>
          <w:sz w:val="32"/>
          <w:szCs w:val="32"/>
        </w:rPr>
        <w:t>。主要变动原因是新增1人，五险一金调整。</w:t>
      </w:r>
    </w:p>
    <w:p>
      <w:pPr>
        <w:pStyle w:val="2"/>
        <w:spacing w:before="93"/>
        <w:jc w:val="center"/>
      </w:pPr>
      <w:bookmarkStart w:id="37" w:name="_Toc15396607"/>
      <w:bookmarkStart w:id="38" w:name="_Toc15377209"/>
      <w:r>
        <w:drawing>
          <wp:inline distT="0" distB="0" distL="114300" distR="114300">
            <wp:extent cx="4315460" cy="1991360"/>
            <wp:effectExtent l="4445" t="4445" r="23495" b="23495"/>
            <wp:docPr id="1079"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p>
      <w:pPr>
        <w:spacing w:line="600" w:lineRule="exact"/>
        <w:ind w:firstLine="640" w:firstLineChars="200"/>
        <w:outlineLvl w:val="1"/>
        <w:rPr>
          <w:rStyle w:val="18"/>
          <w:rFonts w:ascii="黑体" w:eastAsia="黑体"/>
          <w:b w:val="0"/>
        </w:rPr>
      </w:pPr>
      <w:bookmarkStart w:id="39" w:name="_Toc115798214"/>
      <w:r>
        <w:rPr>
          <w:rFonts w:hint="eastAsia" w:ascii="黑体" w:eastAsia="黑体"/>
          <w:sz w:val="32"/>
          <w:szCs w:val="32"/>
        </w:rPr>
        <w:t>五、</w:t>
      </w:r>
      <w:r>
        <w:rPr>
          <w:rFonts w:hint="eastAsia" w:ascii="黑体" w:eastAsia="黑体"/>
          <w:b/>
          <w:sz w:val="32"/>
          <w:szCs w:val="32"/>
        </w:rPr>
        <w:t>一</w:t>
      </w:r>
      <w:r>
        <w:rPr>
          <w:rStyle w:val="18"/>
          <w:rFonts w:hint="eastAsia" w:ascii="黑体" w:eastAsia="黑体"/>
          <w:b w:val="0"/>
        </w:rPr>
        <w:t>般公共预算财政拨款支出决算情况说明</w:t>
      </w:r>
      <w:bookmarkEnd w:id="37"/>
      <w:bookmarkEnd w:id="38"/>
      <w:bookmarkEnd w:id="39"/>
    </w:p>
    <w:p>
      <w:pPr>
        <w:spacing w:line="600" w:lineRule="exact"/>
        <w:ind w:firstLine="643" w:firstLineChars="200"/>
        <w:outlineLvl w:val="2"/>
        <w:rPr>
          <w:rFonts w:ascii="仿宋" w:eastAsia="仿宋"/>
          <w:b/>
          <w:sz w:val="32"/>
          <w:szCs w:val="32"/>
        </w:rPr>
      </w:pPr>
      <w:bookmarkStart w:id="40" w:name="_Toc115798215"/>
      <w:bookmarkStart w:id="41" w:name="_Toc15377210"/>
      <w:r>
        <w:rPr>
          <w:rFonts w:hint="eastAsia" w:ascii="仿宋" w:eastAsia="仿宋"/>
          <w:b/>
          <w:sz w:val="32"/>
          <w:szCs w:val="32"/>
        </w:rPr>
        <w:t>（一）一般公共预算财政拨款支出决算总体情况</w:t>
      </w:r>
      <w:bookmarkEnd w:id="40"/>
      <w:bookmarkEnd w:id="41"/>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21年一般公共预算财政拨款支出170.21万元，占本年支出合计的100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20年相比，一般公共预算财政拨款支出增加30.37万元，增长21.72</w:t>
      </w:r>
      <w:r>
        <w:rPr>
          <w:rFonts w:ascii="仿宋" w:eastAsia="仿宋"/>
          <w:sz w:val="32"/>
          <w:szCs w:val="32"/>
        </w:rPr>
        <w:t>%</w:t>
      </w:r>
      <w:r>
        <w:rPr>
          <w:rFonts w:hint="eastAsia" w:ascii="仿宋" w:eastAsia="仿宋"/>
          <w:sz w:val="32"/>
          <w:szCs w:val="32"/>
        </w:rPr>
        <w:t>。主要变动原因是新增1人，五险一金调整。</w:t>
      </w:r>
    </w:p>
    <w:p>
      <w:pPr>
        <w:pStyle w:val="2"/>
        <w:spacing w:before="93"/>
        <w:jc w:val="center"/>
      </w:pPr>
      <w:bookmarkStart w:id="42" w:name="_Toc15377211"/>
      <w:r>
        <w:drawing>
          <wp:inline distT="0" distB="0" distL="114300" distR="114300">
            <wp:extent cx="4572000" cy="2743200"/>
            <wp:effectExtent l="4445" t="4445" r="14605" b="14605"/>
            <wp:docPr id="1086"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：一般公共预算财政拨款支出决算变动情况）（柱状图）</w:t>
      </w:r>
    </w:p>
    <w:p>
      <w:pPr>
        <w:spacing w:line="600" w:lineRule="exact"/>
        <w:ind w:firstLine="643" w:firstLineChars="200"/>
        <w:outlineLvl w:val="2"/>
        <w:rPr>
          <w:rFonts w:ascii="仿宋" w:eastAsia="仿宋"/>
          <w:b/>
          <w:sz w:val="32"/>
          <w:szCs w:val="32"/>
        </w:rPr>
      </w:pPr>
      <w:bookmarkStart w:id="43" w:name="_Toc115798216"/>
      <w:r>
        <w:rPr>
          <w:rFonts w:hint="eastAsia" w:ascii="仿宋" w:eastAsia="仿宋"/>
          <w:b/>
          <w:sz w:val="32"/>
          <w:szCs w:val="32"/>
        </w:rPr>
        <w:t>（二）一般公共预算财政拨款支出决算结构情况</w:t>
      </w:r>
      <w:bookmarkEnd w:id="42"/>
      <w:bookmarkEnd w:id="43"/>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21年一般公共预算财政拨款支出170.21万元，主要用于以下方面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支出146.29万元，占85.95</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支出11.05万元，占6.49</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rPr>
        <w:t>5.55万元，占3.26</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w:t>
      </w:r>
      <w:r>
        <w:rPr>
          <w:rFonts w:hint="eastAsia" w:ascii="仿宋" w:eastAsia="仿宋"/>
          <w:sz w:val="32"/>
          <w:szCs w:val="32"/>
        </w:rPr>
        <w:t>支出7.32万元，占4.3</w:t>
      </w:r>
      <w:r>
        <w:rPr>
          <w:rFonts w:ascii="仿宋" w:eastAsia="仿宋"/>
          <w:sz w:val="32"/>
          <w:szCs w:val="32"/>
        </w:rPr>
        <w:t>%</w:t>
      </w:r>
      <w:r>
        <w:rPr>
          <w:rFonts w:hint="eastAsia" w:ascii="仿宋" w:eastAsia="仿宋"/>
          <w:sz w:val="32"/>
          <w:szCs w:val="32"/>
        </w:rPr>
        <w:t>。</w:t>
      </w:r>
    </w:p>
    <w:p>
      <w:pPr>
        <w:pStyle w:val="2"/>
        <w:spacing w:before="93"/>
        <w:jc w:val="center"/>
      </w:pPr>
      <w:r>
        <w:drawing>
          <wp:inline distT="0" distB="0" distL="114300" distR="114300">
            <wp:extent cx="3724275" cy="2057400"/>
            <wp:effectExtent l="4445" t="5080" r="5080" b="13970"/>
            <wp:docPr id="108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spacing w:line="600" w:lineRule="exact"/>
        <w:ind w:firstLine="643" w:firstLineChars="200"/>
        <w:outlineLvl w:val="2"/>
        <w:rPr>
          <w:rFonts w:ascii="仿宋" w:eastAsia="仿宋"/>
          <w:b/>
          <w:sz w:val="32"/>
          <w:szCs w:val="32"/>
        </w:rPr>
      </w:pPr>
      <w:bookmarkStart w:id="44" w:name="_Toc15377212"/>
      <w:bookmarkStart w:id="45" w:name="_Toc115798217"/>
      <w:r>
        <w:rPr>
          <w:rFonts w:hint="eastAsia" w:ascii="仿宋" w:eastAsia="仿宋"/>
          <w:b/>
          <w:sz w:val="32"/>
          <w:szCs w:val="32"/>
        </w:rPr>
        <w:t>（三）一般公共预算财政拨款支出决算具体情况</w:t>
      </w:r>
      <w:bookmarkEnd w:id="44"/>
      <w:bookmarkEnd w:id="45"/>
    </w:p>
    <w:p>
      <w:pPr>
        <w:spacing w:line="600" w:lineRule="exact"/>
        <w:ind w:firstLine="643" w:firstLineChars="200"/>
        <w:rPr>
          <w:rFonts w:ascii="仿宋" w:eastAsia="仿宋"/>
          <w:b/>
          <w:sz w:val="32"/>
          <w:szCs w:val="32"/>
        </w:rPr>
      </w:pPr>
      <w:bookmarkStart w:id="46" w:name="_Toc15378460"/>
      <w:bookmarkStart w:id="47" w:name="_Toc15377213"/>
      <w:bookmarkStart w:id="48" w:name="_Toc15377444"/>
      <w:r>
        <w:rPr>
          <w:rFonts w:hint="eastAsia" w:ascii="仿宋" w:eastAsia="仿宋"/>
          <w:b/>
          <w:sz w:val="32"/>
          <w:szCs w:val="32"/>
        </w:rPr>
        <w:t>2021年一般公共预算支出决算数为170.21，完成预算100</w:t>
      </w:r>
      <w:r>
        <w:rPr>
          <w:rFonts w:ascii="仿宋" w:eastAsia="仿宋"/>
          <w:b/>
          <w:sz w:val="32"/>
          <w:szCs w:val="32"/>
        </w:rPr>
        <w:t>%</w:t>
      </w:r>
      <w:r>
        <w:rPr>
          <w:rFonts w:hint="eastAsia" w:ascii="仿宋" w:eastAsia="仿宋"/>
          <w:b/>
          <w:sz w:val="32"/>
          <w:szCs w:val="32"/>
        </w:rPr>
        <w:t>。其中：</w:t>
      </w:r>
      <w:bookmarkEnd w:id="46"/>
      <w:bookmarkEnd w:id="47"/>
      <w:bookmarkEnd w:id="48"/>
    </w:p>
    <w:p>
      <w:pPr>
        <w:spacing w:line="600" w:lineRule="exact"/>
        <w:ind w:firstLine="643" w:firstLineChars="200"/>
        <w:rPr>
          <w:rStyle w:val="15"/>
          <w:rFonts w:ascii="仿宋" w:eastAsia="仿宋"/>
          <w:b w:val="0"/>
          <w:bCs/>
          <w:sz w:val="32"/>
          <w:szCs w:val="32"/>
        </w:rPr>
      </w:pPr>
      <w:r>
        <w:rPr>
          <w:rStyle w:val="15"/>
          <w:rFonts w:ascii="仿宋" w:eastAsia="仿宋"/>
          <w:bCs/>
          <w:sz w:val="32"/>
          <w:szCs w:val="32"/>
        </w:rPr>
        <w:t>1.</w:t>
      </w:r>
      <w:r>
        <w:rPr>
          <w:rStyle w:val="15"/>
          <w:rFonts w:hint="eastAsia" w:ascii="仿宋" w:eastAsia="仿宋"/>
          <w:bCs/>
          <w:sz w:val="32"/>
          <w:szCs w:val="32"/>
        </w:rPr>
        <w:t>一般公共服务201（类）31（款）01（项）</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支出决算为130.04万元，完成预算100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Style w:val="15"/>
          <w:rFonts w:ascii="仿宋" w:eastAsia="仿宋"/>
          <w:b w:val="0"/>
          <w:bCs/>
          <w:sz w:val="32"/>
          <w:szCs w:val="32"/>
        </w:rPr>
      </w:pPr>
      <w:r>
        <w:rPr>
          <w:rStyle w:val="15"/>
          <w:rFonts w:hint="eastAsia" w:ascii="仿宋" w:eastAsia="仿宋"/>
          <w:bCs/>
          <w:sz w:val="32"/>
          <w:szCs w:val="32"/>
        </w:rPr>
        <w:t>2</w:t>
      </w:r>
      <w:r>
        <w:rPr>
          <w:rStyle w:val="15"/>
          <w:rFonts w:ascii="仿宋" w:eastAsia="仿宋"/>
          <w:bCs/>
          <w:sz w:val="32"/>
          <w:szCs w:val="32"/>
        </w:rPr>
        <w:t>.</w:t>
      </w:r>
      <w:r>
        <w:rPr>
          <w:rStyle w:val="15"/>
          <w:rFonts w:hint="eastAsia" w:ascii="仿宋" w:eastAsia="仿宋"/>
          <w:bCs/>
          <w:sz w:val="32"/>
          <w:szCs w:val="32"/>
        </w:rPr>
        <w:t>一般公共服务201（类）31（款）02（项）</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支出决算为16.24万元，完成预算100</w:t>
      </w:r>
      <w:r>
        <w:rPr>
          <w:rStyle w:val="15"/>
          <w:rFonts w:ascii="仿宋" w:eastAsia="仿宋"/>
          <w:b w:val="0"/>
          <w:bCs/>
          <w:sz w:val="32"/>
          <w:szCs w:val="32"/>
        </w:rPr>
        <w:t>%</w:t>
      </w:r>
      <w:r>
        <w:rPr>
          <w:rStyle w:val="15"/>
          <w:rFonts w:hint="eastAsia" w:ascii="仿宋" w:eastAsia="仿宋"/>
          <w:b w:val="0"/>
          <w:bCs/>
          <w:sz w:val="32"/>
          <w:szCs w:val="32"/>
        </w:rPr>
        <w:t>。</w:t>
      </w:r>
    </w:p>
    <w:p>
      <w:pPr>
        <w:spacing w:line="576" w:lineRule="exact"/>
        <w:ind w:firstLine="643" w:firstLineChars="200"/>
        <w:rPr>
          <w:rFonts w:ascii="仿宋" w:hAnsi="仿宋" w:eastAsia="仿宋"/>
          <w:b/>
          <w:color w:val="000000"/>
          <w:sz w:val="32"/>
          <w:szCs w:val="32"/>
        </w:rPr>
      </w:pPr>
      <w:r>
        <w:rPr>
          <w:rStyle w:val="15"/>
          <w:rFonts w:hint="eastAsia" w:ascii="仿宋" w:eastAsia="仿宋"/>
          <w:bCs/>
          <w:sz w:val="32"/>
          <w:szCs w:val="32"/>
        </w:rPr>
        <w:t>3</w:t>
      </w:r>
      <w:r>
        <w:rPr>
          <w:rStyle w:val="15"/>
          <w:rFonts w:ascii="仿宋" w:eastAsia="仿宋"/>
          <w:bCs/>
          <w:sz w:val="32"/>
          <w:szCs w:val="32"/>
        </w:rPr>
        <w:t>.</w:t>
      </w:r>
      <w:r>
        <w:rPr>
          <w:rStyle w:val="15"/>
          <w:rFonts w:hint="eastAsia" w:ascii="仿宋" w:hAnsi="仿宋" w:eastAsia="仿宋"/>
          <w:bCs/>
          <w:color w:val="000000"/>
          <w:sz w:val="32"/>
          <w:szCs w:val="32"/>
        </w:rPr>
        <w:t>社会保障和就业208（类）05（款）05（项）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支出决算为7.37万元，完成预算100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76"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4</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社会保障和就业208（类）05（款）06（项）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支出决算为3.68万元，完成预算100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76"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5</w:t>
      </w:r>
      <w:r>
        <w:rPr>
          <w:rStyle w:val="15"/>
          <w:rFonts w:ascii="仿宋" w:hAnsi="仿宋" w:eastAsia="仿宋"/>
          <w:bCs/>
          <w:color w:val="000000"/>
          <w:sz w:val="32"/>
          <w:szCs w:val="32"/>
        </w:rPr>
        <w:t>.</w:t>
      </w:r>
      <w:r>
        <w:rPr>
          <w:rFonts w:hint="eastAsia" w:ascii="仿宋" w:hAnsi="仿宋" w:eastAsia="仿宋"/>
          <w:b/>
          <w:bCs/>
          <w:color w:val="000000"/>
          <w:sz w:val="32"/>
          <w:szCs w:val="32"/>
        </w:rPr>
        <w:t>卫生健康210</w:t>
      </w:r>
      <w:r>
        <w:rPr>
          <w:rStyle w:val="15"/>
          <w:rFonts w:hint="eastAsia" w:ascii="仿宋" w:hAnsi="仿宋" w:eastAsia="仿宋"/>
          <w:bCs/>
          <w:color w:val="000000"/>
          <w:sz w:val="32"/>
          <w:szCs w:val="32"/>
        </w:rPr>
        <w:t>（类）11（款）01（项）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支出决算为3.65万元，完成预算100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76"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6</w:t>
      </w:r>
      <w:r>
        <w:rPr>
          <w:rStyle w:val="15"/>
          <w:rFonts w:ascii="仿宋" w:hAnsi="仿宋" w:eastAsia="仿宋"/>
          <w:bCs/>
          <w:color w:val="000000"/>
          <w:sz w:val="32"/>
          <w:szCs w:val="32"/>
        </w:rPr>
        <w:t>.</w:t>
      </w:r>
      <w:r>
        <w:rPr>
          <w:rFonts w:hint="eastAsia" w:ascii="仿宋" w:hAnsi="仿宋" w:eastAsia="仿宋"/>
          <w:b/>
          <w:bCs/>
          <w:color w:val="000000"/>
          <w:sz w:val="32"/>
          <w:szCs w:val="32"/>
        </w:rPr>
        <w:t>卫生健康210</w:t>
      </w:r>
      <w:r>
        <w:rPr>
          <w:rStyle w:val="15"/>
          <w:rFonts w:hint="eastAsia" w:ascii="仿宋" w:hAnsi="仿宋" w:eastAsia="仿宋"/>
          <w:bCs/>
          <w:color w:val="000000"/>
          <w:sz w:val="32"/>
          <w:szCs w:val="32"/>
        </w:rPr>
        <w:t>（类）11（款）03（项）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支出决算为1.91万元，完成预算100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576"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7</w:t>
      </w:r>
      <w:r>
        <w:rPr>
          <w:rStyle w:val="15"/>
          <w:rFonts w:ascii="仿宋" w:hAnsi="仿宋" w:eastAsia="仿宋"/>
          <w:bCs/>
          <w:color w:val="000000"/>
          <w:sz w:val="32"/>
          <w:szCs w:val="32"/>
        </w:rPr>
        <w:t>.</w:t>
      </w:r>
      <w:r>
        <w:rPr>
          <w:rFonts w:hint="eastAsia" w:ascii="仿宋" w:hAnsi="仿宋" w:eastAsia="仿宋"/>
          <w:b/>
          <w:bCs/>
          <w:color w:val="000000"/>
          <w:sz w:val="32"/>
          <w:szCs w:val="32"/>
        </w:rPr>
        <w:t>住房保障221</w:t>
      </w:r>
      <w:r>
        <w:rPr>
          <w:rStyle w:val="15"/>
          <w:rFonts w:hint="eastAsia" w:ascii="仿宋" w:hAnsi="仿宋" w:eastAsia="仿宋"/>
          <w:bCs/>
          <w:color w:val="000000"/>
          <w:sz w:val="32"/>
          <w:szCs w:val="32"/>
        </w:rPr>
        <w:t>（类）02（款）01（项）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支出决算为7.32万元，完成预算100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18"/>
        </w:rPr>
      </w:pPr>
      <w:bookmarkStart w:id="49" w:name="_Toc15377214"/>
      <w:bookmarkStart w:id="50" w:name="_Toc15396608"/>
      <w:bookmarkStart w:id="51" w:name="_Toc115798218"/>
      <w:r>
        <w:rPr>
          <w:rFonts w:hint="eastAsia" w:ascii="黑体" w:eastAsia="黑体"/>
          <w:sz w:val="32"/>
          <w:szCs w:val="32"/>
        </w:rPr>
        <w:t>六</w:t>
      </w:r>
      <w:r>
        <w:rPr>
          <w:rFonts w:hint="eastAsia" w:ascii="黑体" w:eastAsia="黑体"/>
          <w:b/>
          <w:sz w:val="32"/>
          <w:szCs w:val="32"/>
        </w:rPr>
        <w:t>、一</w:t>
      </w:r>
      <w:r>
        <w:rPr>
          <w:rStyle w:val="18"/>
          <w:rFonts w:hint="eastAsia" w:ascii="黑体" w:eastAsia="黑体"/>
          <w:b w:val="0"/>
        </w:rPr>
        <w:t>般公共预算财政拨款基本支出决算情况说明</w:t>
      </w:r>
      <w:bookmarkEnd w:id="49"/>
      <w:bookmarkEnd w:id="50"/>
      <w:bookmarkEnd w:id="51"/>
      <w:r>
        <w:rPr>
          <w:rStyle w:val="18"/>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21年一般公共预算财政拨款基本支出153.97万元，其中：</w:t>
      </w:r>
    </w:p>
    <w:p>
      <w:pPr>
        <w:spacing w:line="600" w:lineRule="exact"/>
        <w:ind w:firstLine="645"/>
        <w:rPr>
          <w:rFonts w:ascii="仿宋" w:eastAsia="仿宋"/>
          <w:sz w:val="32"/>
          <w:szCs w:val="32"/>
        </w:rPr>
      </w:pPr>
      <w:r>
        <w:rPr>
          <w:rFonts w:hint="eastAsia" w:ascii="仿宋" w:eastAsia="仿宋"/>
          <w:sz w:val="32"/>
          <w:szCs w:val="32"/>
        </w:rPr>
        <w:t>人员经费133.28万元，主要包括：基本工资19.41万元、津贴补贴57.42万元、奖金1.97万元、伙食补助费1.29万元、机关事业单位基本养老保险缴费7.37万元、职业年金缴费3.68万元、其他社会保障缴费0.8万元、其他工资福利支出0.5万元、生活补助27.96万元、职工基本医疗保险费补助3.65万元、公务员医疗补助缴费1.91万元、住房公积金7.32万元。</w:t>
      </w:r>
    </w:p>
    <w:p>
      <w:pPr>
        <w:spacing w:line="600" w:lineRule="exact"/>
        <w:ind w:firstLine="645"/>
        <w:rPr>
          <w:rFonts w:ascii="仿宋" w:eastAsia="仿宋"/>
          <w:sz w:val="32"/>
          <w:szCs w:val="32"/>
        </w:rPr>
      </w:pPr>
      <w:r>
        <w:rPr>
          <w:rFonts w:hint="eastAsia" w:ascii="仿宋" w:eastAsia="仿宋"/>
          <w:sz w:val="32"/>
          <w:szCs w:val="32"/>
        </w:rPr>
        <w:t>公用经费20.69万元，主要包括：办公费3.21万元、电费0.36万元、邮电费0.71万元、差旅费5.12万元、维修（护）费0.21元、公务接待费0.15万元、劳务费2.26万元、福利费1.42万元、公务用车运行维护费6.2万元、办公设备购置1.05万元。</w:t>
      </w:r>
    </w:p>
    <w:p>
      <w:pPr>
        <w:spacing w:line="600" w:lineRule="exact"/>
        <w:ind w:firstLine="640"/>
        <w:outlineLvl w:val="1"/>
        <w:rPr>
          <w:rStyle w:val="18"/>
          <w:rFonts w:ascii="黑体" w:eastAsia="黑体"/>
          <w:b w:val="0"/>
        </w:rPr>
      </w:pPr>
      <w:bookmarkStart w:id="52" w:name="_Toc15377215"/>
      <w:bookmarkStart w:id="53" w:name="_Toc15396609"/>
      <w:bookmarkStart w:id="54" w:name="_Toc115798219"/>
      <w:r>
        <w:rPr>
          <w:rFonts w:hint="eastAsia" w:ascii="黑体" w:eastAsia="黑体"/>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52"/>
      <w:bookmarkEnd w:id="53"/>
      <w:bookmarkEnd w:id="54"/>
    </w:p>
    <w:p>
      <w:pPr>
        <w:spacing w:line="600" w:lineRule="exact"/>
        <w:ind w:firstLine="640"/>
        <w:outlineLvl w:val="2"/>
        <w:rPr>
          <w:rFonts w:ascii="仿宋" w:eastAsia="仿宋"/>
          <w:b/>
          <w:sz w:val="32"/>
          <w:szCs w:val="32"/>
        </w:rPr>
      </w:pPr>
      <w:bookmarkStart w:id="55" w:name="_Toc15377216"/>
      <w:bookmarkStart w:id="56" w:name="_Toc115798220"/>
      <w:r>
        <w:rPr>
          <w:rFonts w:hint="eastAsia" w:ascii="仿宋" w:eastAsia="仿宋"/>
          <w:b/>
          <w:sz w:val="32"/>
          <w:szCs w:val="32"/>
        </w:rPr>
        <w:t>（一）“三公”经费财政拨款支出决算总体情况说明</w:t>
      </w:r>
      <w:bookmarkEnd w:id="55"/>
      <w:bookmarkEnd w:id="56"/>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21年“三公”经费财政拨款支出决算为8.61万元，完成预算100</w:t>
      </w:r>
      <w:r>
        <w:rPr>
          <w:rFonts w:ascii="仿宋" w:eastAsia="仿宋"/>
          <w:sz w:val="32"/>
          <w:szCs w:val="32"/>
        </w:rPr>
        <w:t>%</w:t>
      </w:r>
      <w:r>
        <w:rPr>
          <w:rFonts w:hint="eastAsia" w:ascii="仿宋" w:eastAsia="仿宋"/>
          <w:sz w:val="32"/>
          <w:szCs w:val="32"/>
        </w:rPr>
        <w:t>。</w:t>
      </w:r>
    </w:p>
    <w:p>
      <w:pPr>
        <w:spacing w:line="600" w:lineRule="exact"/>
        <w:ind w:firstLine="640"/>
        <w:outlineLvl w:val="2"/>
        <w:rPr>
          <w:rFonts w:ascii="仿宋" w:eastAsia="仿宋"/>
          <w:b/>
          <w:sz w:val="32"/>
          <w:szCs w:val="32"/>
        </w:rPr>
      </w:pPr>
      <w:bookmarkStart w:id="57" w:name="_Toc15377217"/>
      <w:bookmarkStart w:id="58" w:name="_Toc115798221"/>
      <w:r>
        <w:rPr>
          <w:rFonts w:hint="eastAsia" w:ascii="仿宋" w:eastAsia="仿宋"/>
          <w:b/>
          <w:sz w:val="32"/>
          <w:szCs w:val="32"/>
        </w:rPr>
        <w:t>（二）“三公”经费财政拨款支出决算具体情况说明</w:t>
      </w:r>
      <w:bookmarkEnd w:id="57"/>
      <w:bookmarkEnd w:id="58"/>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21年“三公”经费财政拨款支出决算中，因公出国（境）费支出决算0.00万元，占0.00</w:t>
      </w:r>
      <w:r>
        <w:rPr>
          <w:rFonts w:ascii="仿宋" w:eastAsia="仿宋"/>
          <w:sz w:val="32"/>
          <w:szCs w:val="32"/>
        </w:rPr>
        <w:t>%</w:t>
      </w:r>
      <w:r>
        <w:rPr>
          <w:rFonts w:hint="eastAsia" w:ascii="仿宋" w:eastAsia="仿宋"/>
          <w:sz w:val="32"/>
          <w:szCs w:val="32"/>
        </w:rPr>
        <w:t>；公务用车购置及运行维护费支出决算8.46万元，占98.26</w:t>
      </w:r>
      <w:r>
        <w:rPr>
          <w:rFonts w:ascii="仿宋" w:eastAsia="仿宋"/>
          <w:sz w:val="32"/>
          <w:szCs w:val="32"/>
        </w:rPr>
        <w:t>%</w:t>
      </w:r>
      <w:r>
        <w:rPr>
          <w:rFonts w:hint="eastAsia" w:ascii="仿宋" w:eastAsia="仿宋"/>
          <w:sz w:val="32"/>
          <w:szCs w:val="32"/>
        </w:rPr>
        <w:t>；公务接待费支出决算0.15万元，占1.74</w:t>
      </w:r>
      <w:r>
        <w:rPr>
          <w:rFonts w:ascii="仿宋" w:eastAsia="仿宋"/>
          <w:sz w:val="32"/>
          <w:szCs w:val="32"/>
        </w:rPr>
        <w:t>%</w:t>
      </w:r>
      <w:r>
        <w:rPr>
          <w:rFonts w:hint="eastAsia" w:ascii="仿宋" w:eastAsia="仿宋"/>
          <w:sz w:val="32"/>
          <w:szCs w:val="32"/>
        </w:rPr>
        <w:t>。具体情况如下：</w:t>
      </w:r>
    </w:p>
    <w:p>
      <w:pPr>
        <w:pStyle w:val="2"/>
        <w:spacing w:before="93"/>
        <w:jc w:val="center"/>
      </w:pPr>
      <w:r>
        <w:drawing>
          <wp:inline distT="0" distB="0" distL="114300" distR="114300">
            <wp:extent cx="3724275" cy="1724660"/>
            <wp:effectExtent l="5080" t="5080" r="4445" b="22860"/>
            <wp:docPr id="108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jc w:val="center"/>
        <w:rPr>
          <w:rFonts w:ascii="仿宋" w:eastAsia="仿宋"/>
          <w:sz w:val="32"/>
          <w:szCs w:val="32"/>
        </w:rPr>
      </w:pPr>
      <w:r>
        <w:rPr>
          <w:rFonts w:hint="eastAsia" w:ascii="仿宋" w:eastAsia="仿宋"/>
          <w:sz w:val="32"/>
          <w:szCs w:val="32"/>
        </w:rPr>
        <w:t>（图7：“三公”经费财政拨款支出结构）（饼状图）</w:t>
      </w:r>
    </w:p>
    <w:p>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0.00万元，</w:t>
      </w:r>
      <w:r>
        <w:rPr>
          <w:rStyle w:val="15"/>
          <w:rFonts w:hint="eastAsia" w:ascii="仿宋" w:eastAsia="仿宋"/>
          <w:b w:val="0"/>
          <w:bCs/>
          <w:sz w:val="32"/>
          <w:szCs w:val="32"/>
        </w:rPr>
        <w:t>完成预算0.00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0"/>
        <w:rPr>
          <w:rFonts w:ascii="仿宋_GB2312" w:eastAsia="仿宋_GB2312"/>
          <w:b/>
          <w:color w:val="000000"/>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8.46万元,</w:t>
      </w:r>
      <w:r>
        <w:rPr>
          <w:rStyle w:val="15"/>
          <w:rFonts w:hint="eastAsia" w:ascii="仿宋" w:eastAsia="仿宋"/>
          <w:b w:val="0"/>
          <w:bCs/>
          <w:sz w:val="32"/>
          <w:szCs w:val="32"/>
        </w:rPr>
        <w:t>完成预算100</w:t>
      </w:r>
      <w:r>
        <w:rPr>
          <w:rStyle w:val="15"/>
          <w:rFonts w:ascii="仿宋" w:eastAsia="仿宋"/>
          <w:b w:val="0"/>
          <w:bCs/>
          <w:sz w:val="32"/>
          <w:szCs w:val="32"/>
        </w:rPr>
        <w:t>%</w:t>
      </w:r>
      <w:r>
        <w:rPr>
          <w:rStyle w:val="15"/>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20年增加3.31万元，增长39.12</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olor w:val="000000"/>
          <w:sz w:val="32"/>
          <w:szCs w:val="32"/>
        </w:rPr>
        <w:t>主要原因是赴各县（市）、乡镇开展宣讲活动次数</w:t>
      </w:r>
      <w:r>
        <w:rPr>
          <w:rFonts w:ascii="仿宋_GB2312" w:eastAsia="仿宋_GB2312"/>
          <w:color w:val="000000"/>
          <w:sz w:val="32"/>
          <w:szCs w:val="32"/>
        </w:rPr>
        <w:t>较多。</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0.00万元。全年按规定更新购置公务用车0辆，其中：轿车0辆、金额0.00万元，越野车0辆、金额0.00万元，载客汽车0辆、金额0.00万元。截至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月底，单位共有公务用车2辆，其中：轿车0辆、越野车2辆、载客汽车0辆。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8.46万元。主要用于</w:t>
      </w:r>
      <w:r>
        <w:rPr>
          <w:rFonts w:hint="eastAsia" w:ascii="仿宋_GB2312" w:eastAsia="仿宋_GB2312"/>
          <w:color w:val="000000"/>
          <w:sz w:val="32"/>
          <w:szCs w:val="32"/>
        </w:rPr>
        <w:t>履行讲师团职能所需的公务用车燃料费、维修费、过路过桥费、保险费</w:t>
      </w:r>
      <w:r>
        <w:rPr>
          <w:rFonts w:hint="eastAsia" w:ascii="仿宋_GB2312" w:eastAsia="仿宋_GB2312"/>
          <w:sz w:val="32"/>
          <w:szCs w:val="32"/>
        </w:rPr>
        <w:t>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0.15万元，</w:t>
      </w:r>
      <w:r>
        <w:rPr>
          <w:rStyle w:val="15"/>
          <w:rFonts w:hint="eastAsia" w:ascii="仿宋" w:eastAsia="仿宋"/>
          <w:b w:val="0"/>
          <w:bCs/>
          <w:sz w:val="32"/>
          <w:szCs w:val="32"/>
        </w:rPr>
        <w:t>完成预算100</w:t>
      </w:r>
      <w:r>
        <w:rPr>
          <w:rStyle w:val="15"/>
          <w:rFonts w:ascii="仿宋" w:eastAsia="仿宋"/>
          <w:b w:val="0"/>
          <w:bCs/>
          <w:sz w:val="32"/>
          <w:szCs w:val="32"/>
        </w:rPr>
        <w:t>%</w:t>
      </w:r>
      <w:r>
        <w:rPr>
          <w:rStyle w:val="15"/>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20年减少0.13万元，下降46.43</w:t>
      </w:r>
      <w:r>
        <w:rPr>
          <w:rFonts w:ascii="仿宋_GB2312" w:eastAsia="仿宋_GB2312"/>
          <w:sz w:val="32"/>
          <w:szCs w:val="32"/>
        </w:rPr>
        <w:t>%</w:t>
      </w:r>
      <w:r>
        <w:rPr>
          <w:rFonts w:hint="eastAsia" w:ascii="仿宋_GB2312" w:eastAsia="仿宋_GB2312"/>
          <w:sz w:val="32"/>
          <w:szCs w:val="32"/>
        </w:rPr>
        <w:t>。主要原因是厉行节约。其中：</w:t>
      </w:r>
    </w:p>
    <w:p>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rPr>
        <w:t>0.15</w:t>
      </w:r>
      <w:r>
        <w:rPr>
          <w:rFonts w:hint="eastAsia" w:ascii="仿宋_GB2312" w:eastAsia="仿宋_GB2312"/>
          <w:sz w:val="32"/>
          <w:szCs w:val="32"/>
        </w:rPr>
        <w:t>万元，主要用于开展业务活动开支的用餐费等。国内公务接待1批次，14人次（不包括陪同人员），共计支出0.15万元。</w:t>
      </w:r>
    </w:p>
    <w:p>
      <w:pPr>
        <w:spacing w:line="600" w:lineRule="exact"/>
        <w:ind w:firstLine="640" w:firstLineChars="200"/>
        <w:rPr>
          <w:rFonts w:ascii="仿宋_GB2312" w:eastAsia="仿宋_GB2312"/>
          <w:sz w:val="32"/>
          <w:szCs w:val="32"/>
        </w:rPr>
      </w:pPr>
      <w:r>
        <w:rPr>
          <w:rFonts w:hint="eastAsia" w:ascii="仿宋" w:eastAsia="仿宋"/>
          <w:bCs/>
          <w:sz w:val="32"/>
          <w:szCs w:val="32"/>
        </w:rPr>
        <w:t>中共四川省阿坝州委讲师团不涉及外事接待支出</w:t>
      </w:r>
      <w:r>
        <w:rPr>
          <w:rFonts w:hint="eastAsia" w:ascii="仿宋_GB2312" w:eastAsia="仿宋_GB2312"/>
          <w:sz w:val="32"/>
          <w:szCs w:val="32"/>
        </w:rPr>
        <w:t>。</w:t>
      </w:r>
    </w:p>
    <w:p>
      <w:pPr>
        <w:spacing w:line="600" w:lineRule="exact"/>
        <w:ind w:firstLine="640"/>
        <w:outlineLvl w:val="1"/>
        <w:rPr>
          <w:rStyle w:val="18"/>
          <w:rFonts w:ascii="黑体" w:eastAsia="黑体"/>
        </w:rPr>
      </w:pPr>
      <w:bookmarkStart w:id="59" w:name="_Toc15396610"/>
      <w:bookmarkStart w:id="60" w:name="_Toc15377218"/>
      <w:bookmarkStart w:id="61" w:name="_Toc115798222"/>
      <w:r>
        <w:rPr>
          <w:rFonts w:hint="eastAsia" w:ascii="黑体" w:eastAsia="黑体"/>
          <w:sz w:val="32"/>
          <w:szCs w:val="32"/>
        </w:rPr>
        <w:t>八、</w:t>
      </w:r>
      <w:r>
        <w:rPr>
          <w:rStyle w:val="18"/>
          <w:rFonts w:hint="eastAsia" w:ascii="黑体" w:eastAsia="黑体"/>
          <w:b w:val="0"/>
        </w:rPr>
        <w:t>政府性基金预算支出决算情况说明</w:t>
      </w:r>
      <w:bookmarkEnd w:id="59"/>
      <w:bookmarkEnd w:id="60"/>
      <w:bookmarkEnd w:id="61"/>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21年政府性基金预算财政拨款支出0.00万元。</w:t>
      </w:r>
    </w:p>
    <w:p>
      <w:pPr>
        <w:numPr>
          <w:ilvl w:val="0"/>
          <w:numId w:val="2"/>
        </w:numPr>
        <w:spacing w:line="600" w:lineRule="exact"/>
        <w:ind w:firstLine="640"/>
        <w:outlineLvl w:val="1"/>
        <w:rPr>
          <w:rStyle w:val="18"/>
          <w:rFonts w:ascii="黑体" w:eastAsia="黑体"/>
          <w:b w:val="0"/>
        </w:rPr>
      </w:pPr>
      <w:bookmarkStart w:id="62" w:name="_Toc15377219"/>
      <w:bookmarkStart w:id="63" w:name="_Toc15396611"/>
      <w:bookmarkStart w:id="64" w:name="_Toc115798223"/>
      <w:r>
        <w:rPr>
          <w:rStyle w:val="18"/>
          <w:rFonts w:hint="eastAsia" w:ascii="黑体" w:eastAsia="黑体"/>
          <w:b w:val="0"/>
        </w:rPr>
        <w:t>国有资本经营预算支出决算情况说明</w:t>
      </w:r>
      <w:bookmarkEnd w:id="62"/>
      <w:bookmarkEnd w:id="63"/>
      <w:bookmarkEnd w:id="64"/>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21年国有资本经营预算财政拨款支出0.00万元。</w:t>
      </w:r>
    </w:p>
    <w:p>
      <w:pPr>
        <w:numPr>
          <w:ilvl w:val="0"/>
          <w:numId w:val="2"/>
        </w:numPr>
        <w:spacing w:line="600" w:lineRule="exact"/>
        <w:ind w:firstLine="640"/>
        <w:outlineLvl w:val="1"/>
        <w:rPr>
          <w:rStyle w:val="18"/>
          <w:rFonts w:ascii="黑体" w:eastAsia="黑体"/>
          <w:b w:val="0"/>
        </w:rPr>
      </w:pPr>
      <w:bookmarkStart w:id="65" w:name="_Toc15377221"/>
      <w:bookmarkStart w:id="66" w:name="_Toc15396612"/>
      <w:bookmarkStart w:id="67" w:name="_Toc115798224"/>
      <w:r>
        <w:rPr>
          <w:rStyle w:val="18"/>
          <w:rFonts w:hint="eastAsia" w:ascii="黑体" w:eastAsia="黑体"/>
          <w:b w:val="0"/>
        </w:rPr>
        <w:t>其他重要事项的情况说明</w:t>
      </w:r>
      <w:bookmarkEnd w:id="65"/>
      <w:bookmarkEnd w:id="66"/>
      <w:bookmarkEnd w:id="67"/>
    </w:p>
    <w:p>
      <w:pPr>
        <w:spacing w:line="600" w:lineRule="exact"/>
        <w:ind w:firstLine="643" w:firstLineChars="200"/>
        <w:outlineLvl w:val="2"/>
        <w:rPr>
          <w:rFonts w:ascii="仿宋" w:eastAsia="仿宋"/>
          <w:sz w:val="32"/>
          <w:szCs w:val="32"/>
        </w:rPr>
      </w:pPr>
      <w:bookmarkStart w:id="68" w:name="_Toc15377222"/>
      <w:bookmarkStart w:id="69" w:name="_Toc115798225"/>
      <w:r>
        <w:rPr>
          <w:rFonts w:hint="eastAsia" w:ascii="仿宋" w:eastAsia="仿宋"/>
          <w:b/>
          <w:sz w:val="32"/>
          <w:szCs w:val="32"/>
        </w:rPr>
        <w:t>（一）机关运行经费支出情况</w:t>
      </w:r>
      <w:bookmarkEnd w:id="68"/>
      <w:bookmarkEnd w:id="69"/>
    </w:p>
    <w:p>
      <w:pPr>
        <w:pStyle w:val="23"/>
        <w:spacing w:line="576" w:lineRule="exact"/>
        <w:ind w:firstLine="732" w:firstLineChars="229"/>
        <w:rPr>
          <w:rFonts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color w:val="000000"/>
          <w:sz w:val="32"/>
          <w:szCs w:val="32"/>
        </w:rPr>
        <w:t>中共四川省阿坝州委讲师团</w:t>
      </w:r>
      <w:r>
        <w:rPr>
          <w:rFonts w:hint="eastAsia" w:ascii="仿宋_GB2312" w:eastAsia="仿宋_GB2312"/>
          <w:sz w:val="32"/>
          <w:szCs w:val="32"/>
        </w:rPr>
        <w:t>机关运行经费支出8.61万元，比</w:t>
      </w:r>
      <w:r>
        <w:rPr>
          <w:rFonts w:ascii="仿宋_GB2312" w:eastAsia="仿宋_GB2312"/>
          <w:sz w:val="32"/>
          <w:szCs w:val="32"/>
        </w:rPr>
        <w:t>20</w:t>
      </w:r>
      <w:r>
        <w:rPr>
          <w:rFonts w:hint="eastAsia" w:ascii="仿宋_GB2312" w:eastAsia="仿宋_GB2312"/>
          <w:sz w:val="32"/>
          <w:szCs w:val="32"/>
        </w:rPr>
        <w:t>20年减少10.56万元，下降55.09</w:t>
      </w:r>
      <w:r>
        <w:rPr>
          <w:rFonts w:ascii="仿宋_GB2312" w:eastAsia="仿宋_GB2312"/>
          <w:sz w:val="32"/>
          <w:szCs w:val="32"/>
        </w:rPr>
        <w:t>%</w:t>
      </w:r>
      <w:r>
        <w:rPr>
          <w:rFonts w:hint="eastAsia" w:ascii="仿宋_GB2312" w:eastAsia="仿宋_GB2312"/>
          <w:sz w:val="32"/>
          <w:szCs w:val="32"/>
        </w:rPr>
        <w:t>。</w:t>
      </w:r>
      <w:r>
        <w:rPr>
          <w:rFonts w:eastAsia="仿宋_GB2312"/>
          <w:sz w:val="32"/>
          <w:szCs w:val="32"/>
        </w:rPr>
        <w:t>主要是因为</w:t>
      </w:r>
      <w:r>
        <w:rPr>
          <w:rFonts w:hint="eastAsia" w:eastAsia="仿宋_GB2312"/>
          <w:sz w:val="32"/>
          <w:szCs w:val="32"/>
        </w:rPr>
        <w:t>2021年本着厉行节约的原则，压缩开支，加上疫情原因，出差减少。</w:t>
      </w:r>
    </w:p>
    <w:p>
      <w:pPr>
        <w:autoSpaceDE w:val="0"/>
        <w:autoSpaceDN w:val="0"/>
        <w:adjustRightInd w:val="0"/>
        <w:spacing w:line="600" w:lineRule="exact"/>
        <w:ind w:firstLine="643" w:firstLineChars="200"/>
        <w:jc w:val="left"/>
        <w:outlineLvl w:val="2"/>
        <w:rPr>
          <w:rFonts w:ascii="仿宋" w:eastAsia="仿宋"/>
          <w:b/>
          <w:sz w:val="32"/>
          <w:szCs w:val="32"/>
        </w:rPr>
      </w:pPr>
      <w:bookmarkStart w:id="70" w:name="_Toc15377223"/>
      <w:bookmarkStart w:id="71" w:name="_Toc115798226"/>
      <w:r>
        <w:rPr>
          <w:rFonts w:hint="eastAsia" w:ascii="仿宋" w:eastAsia="仿宋"/>
          <w:b/>
          <w:sz w:val="32"/>
          <w:szCs w:val="32"/>
        </w:rPr>
        <w:t>（二）政府采购支出情况</w:t>
      </w:r>
      <w:bookmarkEnd w:id="70"/>
      <w:bookmarkEnd w:id="7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color w:val="000000"/>
          <w:sz w:val="32"/>
          <w:szCs w:val="32"/>
        </w:rPr>
        <w:t>中共四川省阿坝州委讲师团</w:t>
      </w:r>
      <w:r>
        <w:rPr>
          <w:rFonts w:hint="eastAsia" w:ascii="仿宋_GB2312" w:eastAsia="仿宋_GB2312"/>
          <w:sz w:val="32"/>
          <w:szCs w:val="32"/>
        </w:rPr>
        <w:t>政府采购支出总额1.05万元，其中：政府采购货物支出1.05万元、政府采购工程支出0.00万元、政府采购服务支出0.00万元。主要用于财务工作购买台式电脑。授予中小企业合同金额1.05万元，占政府采购支出总额的100</w:t>
      </w:r>
      <w:r>
        <w:rPr>
          <w:rFonts w:ascii="仿宋_GB2312" w:eastAsia="仿宋_GB2312"/>
          <w:sz w:val="32"/>
          <w:szCs w:val="32"/>
        </w:rPr>
        <w:t>%</w:t>
      </w:r>
      <w:r>
        <w:rPr>
          <w:rFonts w:hint="eastAsia" w:ascii="仿宋_GB2312" w:eastAsia="仿宋_GB2312"/>
          <w:sz w:val="32"/>
          <w:szCs w:val="32"/>
        </w:rPr>
        <w:t>，其中：授予小微企业合同金额0.00万元，占政府采购支出总额的0.00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72" w:name="_Toc15377224"/>
      <w:bookmarkStart w:id="73" w:name="_Toc115798227"/>
      <w:r>
        <w:rPr>
          <w:rFonts w:hint="eastAsia" w:ascii="仿宋" w:eastAsia="仿宋"/>
          <w:b/>
          <w:sz w:val="32"/>
          <w:szCs w:val="32"/>
        </w:rPr>
        <w:t>（三）国有资产占有使用情况</w:t>
      </w:r>
      <w:bookmarkEnd w:id="72"/>
      <w:bookmarkEnd w:id="73"/>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color w:val="000000"/>
          <w:sz w:val="32"/>
          <w:szCs w:val="32"/>
        </w:rPr>
        <w:t>中共四川省阿坝州委讲师团</w:t>
      </w:r>
      <w:r>
        <w:rPr>
          <w:rFonts w:hint="eastAsia" w:ascii="仿宋_GB2312" w:eastAsia="仿宋_GB2312"/>
          <w:sz w:val="32"/>
          <w:szCs w:val="32"/>
        </w:rPr>
        <w:t>共有车辆2辆，</w:t>
      </w:r>
      <w:r>
        <w:rPr>
          <w:rFonts w:hint="eastAsia" w:ascii="仿宋_GB2312" w:eastAsia="仿宋_GB2312"/>
          <w:color w:val="000000"/>
          <w:sz w:val="32"/>
          <w:szCs w:val="32"/>
        </w:rPr>
        <w:t>其中：主要领导干部用车0辆、机要通信用车0辆、应急保障用车2辆、其他用车0辆。主要是用于执行公务。单价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eastAsia="仿宋"/>
          <w:b/>
          <w:sz w:val="32"/>
          <w:szCs w:val="32"/>
        </w:rPr>
      </w:pPr>
      <w:bookmarkStart w:id="74" w:name="_Toc115798228"/>
      <w:r>
        <w:rPr>
          <w:rFonts w:hint="eastAsia" w:ascii="仿宋" w:eastAsia="仿宋"/>
          <w:b/>
          <w:sz w:val="32"/>
          <w:szCs w:val="32"/>
        </w:rPr>
        <w:t>（四）预算绩效管理情况</w:t>
      </w:r>
      <w:bookmarkEnd w:id="74"/>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单位在2021年度预算编制阶段，组织对5项目（图书资料、思想政治宣读）等5个项目开展了预算事前绩效评估，对5个项目编制了绩效目标，预算执行过程中，选取5个项目开展绩效监控，年终执行完毕后，对5个项目开展了绩效自评，2021年特定目标类部门预算项目绩效目标自评表见附件（第四部分）。</w:t>
      </w:r>
    </w:p>
    <w:p>
      <w:pPr>
        <w:pStyle w:val="2"/>
        <w:spacing w:before="93"/>
        <w:rPr>
          <w:highlight w:val="yellow"/>
        </w:rPr>
      </w:pP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17"/>
          <w:rFonts w:ascii="黑体" w:eastAsia="黑体"/>
          <w:b w:val="0"/>
        </w:rPr>
      </w:pPr>
      <w:bookmarkStart w:id="75" w:name="_Toc15396613"/>
      <w:bookmarkStart w:id="76" w:name="_Toc15377225"/>
      <w:bookmarkStart w:id="77" w:name="_Toc115798229"/>
      <w:r>
        <w:rPr>
          <w:rFonts w:hint="eastAsia" w:ascii="黑体" w:eastAsia="黑体"/>
          <w:sz w:val="44"/>
          <w:szCs w:val="44"/>
        </w:rPr>
        <w:t>名</w:t>
      </w:r>
      <w:r>
        <w:rPr>
          <w:rStyle w:val="17"/>
          <w:rFonts w:hint="eastAsia" w:ascii="黑体" w:eastAsia="黑体"/>
          <w:b w:val="0"/>
        </w:rPr>
        <w:t>词解释</w:t>
      </w:r>
      <w:bookmarkEnd w:id="75"/>
      <w:bookmarkEnd w:id="76"/>
      <w:bookmarkEnd w:id="77"/>
    </w:p>
    <w:p>
      <w:pPr>
        <w:spacing w:line="600" w:lineRule="exact"/>
        <w:jc w:val="left"/>
        <w:rPr>
          <w:rFonts w:ascii="宋体"/>
          <w:b/>
          <w:sz w:val="44"/>
          <w:szCs w:val="44"/>
        </w:rPr>
      </w:pPr>
    </w:p>
    <w:p>
      <w:pPr>
        <w:pStyle w:val="22"/>
        <w:spacing w:line="576" w:lineRule="exact"/>
        <w:ind w:firstLine="640" w:firstLineChars="200"/>
        <w:rPr>
          <w:rFonts w:ascii="仿宋_GB2312" w:eastAsia="仿宋_GB2312"/>
          <w:sz w:val="32"/>
          <w:szCs w:val="32"/>
        </w:rPr>
      </w:pPr>
      <w:bookmarkStart w:id="78"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2"/>
        <w:spacing w:line="576" w:lineRule="exact"/>
        <w:ind w:firstLine="640" w:firstLineChars="200"/>
        <w:rPr>
          <w:rFonts w:ascii="仿宋_GB2312" w:eastAsia="仿宋_GB2312"/>
          <w:sz w:val="32"/>
          <w:szCs w:val="32"/>
        </w:rPr>
      </w:pPr>
      <w:r>
        <w:rPr>
          <w:rFonts w:hint="eastAsia" w:ascii="仿宋_GB2312" w:eastAsia="仿宋_GB2312"/>
          <w:sz w:val="32"/>
          <w:szCs w:val="32"/>
        </w:rPr>
        <w:t>9.社会保障和就业（类）208（款）05（项）06机关事业单位职业年金缴费支出，指反映机关事业单位实施养老保险制度由单位缴纳的职业年金支出。</w:t>
      </w:r>
    </w:p>
    <w:p>
      <w:pPr>
        <w:pStyle w:val="22"/>
        <w:spacing w:line="576" w:lineRule="exact"/>
        <w:ind w:firstLine="640" w:firstLineChars="200"/>
        <w:rPr>
          <w:rFonts w:ascii="仿宋_GB2312" w:eastAsia="仿宋_GB2312"/>
          <w:sz w:val="32"/>
          <w:szCs w:val="32"/>
        </w:rPr>
      </w:pPr>
      <w:r>
        <w:rPr>
          <w:rFonts w:hint="eastAsia" w:ascii="仿宋_GB2312" w:eastAsia="仿宋_GB2312"/>
          <w:sz w:val="32"/>
          <w:szCs w:val="32"/>
        </w:rPr>
        <w:t>10.医疗卫生与计划生育（类）210（款）11（项）01行政单位医疗，指反映财政部门集中安排的行政单位基本医疗保险缴费经费，未参加医疗保险的行政单位的公用医疗经费，按国家规定享受离休人员、红军老战士党人员的医疗经费。</w:t>
      </w:r>
    </w:p>
    <w:p>
      <w:pPr>
        <w:pStyle w:val="22"/>
        <w:spacing w:line="576" w:lineRule="exact"/>
        <w:ind w:firstLine="640" w:firstLineChars="200"/>
        <w:rPr>
          <w:rFonts w:ascii="仿宋_GB2312" w:eastAsia="仿宋_GB2312"/>
          <w:sz w:val="32"/>
          <w:szCs w:val="32"/>
        </w:rPr>
      </w:pPr>
      <w:r>
        <w:rPr>
          <w:rFonts w:hint="eastAsia" w:ascii="仿宋_GB2312" w:eastAsia="仿宋_GB2312"/>
          <w:sz w:val="32"/>
          <w:szCs w:val="32"/>
        </w:rPr>
        <w:t>11.住房保障（类）221（款）02（项）01住房公积金，指反映行政事业单位按人力资源和社会保障部、财政部规定的基本工资和津贴补贴以及规定比例为职工缴纳的住房公积金。</w:t>
      </w:r>
    </w:p>
    <w:p>
      <w:pPr>
        <w:pStyle w:val="22"/>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 12.住房保障（类）221（款）02（项）03购房补贴，指反映按房改政策规定，行政事业单位向符合条件职工（含离退休人员）、军队（含武警）向转役复员离退休人员发放的用于购买住房的补贴。</w:t>
      </w:r>
    </w:p>
    <w:p>
      <w:pPr>
        <w:pStyle w:val="22"/>
        <w:spacing w:line="576" w:lineRule="exact"/>
        <w:ind w:firstLine="640" w:firstLineChars="200"/>
        <w:rPr>
          <w:rFonts w:ascii="仿宋_GB2312" w:eastAsia="仿宋_GB2312"/>
          <w:sz w:val="32"/>
          <w:szCs w:val="32"/>
        </w:rPr>
      </w:pPr>
      <w:r>
        <w:rPr>
          <w:rFonts w:hint="eastAsia" w:ascii="仿宋_GB2312" w:eastAsia="仿宋_GB2312"/>
          <w:sz w:val="32"/>
          <w:szCs w:val="32"/>
        </w:rPr>
        <w:t>13.“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2"/>
        <w:spacing w:line="576" w:lineRule="exact"/>
        <w:ind w:firstLine="640" w:firstLineChars="200"/>
        <w:rPr>
          <w:rFonts w:ascii="仿宋_GB2312" w:eastAsia="仿宋_GB2312"/>
          <w:sz w:val="32"/>
          <w:szCs w:val="32"/>
        </w:rPr>
      </w:pPr>
      <w:r>
        <w:rPr>
          <w:rFonts w:hint="eastAsia" w:ascii="仿宋_GB2312" w:eastAsia="仿宋_GB2312"/>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2"/>
        <w:shd w:val="clear" w:color="auto" w:fill="FFFFFF"/>
        <w:spacing w:beforeAutospacing="0" w:afterAutospacing="0" w:line="576" w:lineRule="exact"/>
        <w:ind w:firstLine="640" w:firstLineChars="200"/>
        <w:rPr>
          <w:rFonts w:hint="default" w:ascii="仿宋_GB2312" w:hAnsi="Calibri" w:eastAsia="仿宋_GB2312" w:cs="仿宋"/>
          <w:color w:val="000000"/>
          <w:sz w:val="32"/>
          <w:szCs w:val="32"/>
        </w:rPr>
      </w:pPr>
      <w:r>
        <w:rPr>
          <w:rFonts w:ascii="仿宋_GB2312" w:hAnsi="Calibri" w:eastAsia="仿宋_GB2312" w:cs="仿宋"/>
          <w:color w:val="000000"/>
          <w:sz w:val="32"/>
          <w:szCs w:val="32"/>
        </w:rPr>
        <w:t>15.基本支出：指为保障机构正常运转、完成日常工作任务而发生的人员支出和公用支出。</w:t>
      </w:r>
    </w:p>
    <w:p>
      <w:pPr>
        <w:pStyle w:val="12"/>
        <w:shd w:val="clear" w:color="auto" w:fill="FFFFFF"/>
        <w:spacing w:beforeAutospacing="0" w:afterAutospacing="0" w:line="576" w:lineRule="exact"/>
        <w:ind w:firstLine="640" w:firstLineChars="200"/>
        <w:rPr>
          <w:rFonts w:hint="default" w:ascii="仿宋_GB2312" w:hAnsi="Calibri" w:eastAsia="仿宋_GB2312" w:cs="仿宋"/>
          <w:color w:val="000000"/>
          <w:sz w:val="32"/>
          <w:szCs w:val="32"/>
        </w:rPr>
      </w:pPr>
      <w:r>
        <w:rPr>
          <w:rFonts w:ascii="仿宋_GB2312" w:hAnsi="Calibri" w:eastAsia="仿宋_GB2312" w:cs="仿宋"/>
          <w:color w:val="000000"/>
          <w:sz w:val="32"/>
          <w:szCs w:val="32"/>
        </w:rPr>
        <w:t>16.项目支出：指在基本支出之外为完成特定行政任务和事业发展目标所发生的支出。</w:t>
      </w:r>
    </w:p>
    <w:p>
      <w:pPr>
        <w:pStyle w:val="12"/>
        <w:shd w:val="clear" w:color="auto" w:fill="FFFFFF"/>
        <w:spacing w:beforeAutospacing="0" w:afterAutospacing="0" w:line="576" w:lineRule="exact"/>
        <w:ind w:firstLine="640" w:firstLineChars="200"/>
        <w:rPr>
          <w:rFonts w:hint="default" w:ascii="仿宋_GB2312" w:hAnsi="Calibri" w:eastAsia="仿宋_GB2312" w:cs="仿宋"/>
          <w:color w:val="000000"/>
          <w:sz w:val="32"/>
          <w:szCs w:val="32"/>
        </w:rPr>
      </w:pPr>
      <w:r>
        <w:rPr>
          <w:rFonts w:ascii="仿宋_GB2312" w:hAnsi="Calibri" w:eastAsia="仿宋_GB2312" w:cs="仿宋"/>
          <w:color w:val="000000"/>
          <w:sz w:val="32"/>
          <w:szCs w:val="32"/>
        </w:rPr>
        <w:t>17.经营支出：指事业单位在专业业务活动及其辅助活动之外开展非独立核算经营活动发生的支出。</w:t>
      </w:r>
    </w:p>
    <w:p>
      <w:pPr>
        <w:spacing w:line="600" w:lineRule="exact"/>
        <w:jc w:val="center"/>
        <w:outlineLvl w:val="0"/>
        <w:rPr>
          <w:rStyle w:val="17"/>
          <w:rFonts w:ascii="黑体" w:eastAsia="黑体"/>
          <w:b w:val="0"/>
        </w:rPr>
      </w:pPr>
      <w:r>
        <w:rPr>
          <w:rFonts w:ascii="宋体"/>
          <w:b/>
          <w:sz w:val="44"/>
          <w:szCs w:val="44"/>
        </w:rPr>
        <w:br w:type="page"/>
      </w:r>
      <w:bookmarkStart w:id="79" w:name="_Toc15396614"/>
      <w:bookmarkStart w:id="80" w:name="_Toc115798230"/>
      <w:r>
        <w:rPr>
          <w:rFonts w:hint="eastAsia" w:ascii="黑体" w:eastAsia="黑体"/>
          <w:sz w:val="44"/>
          <w:szCs w:val="44"/>
        </w:rPr>
        <w:t>第</w:t>
      </w:r>
      <w:r>
        <w:rPr>
          <w:rStyle w:val="17"/>
          <w:rFonts w:hint="eastAsia" w:ascii="黑体" w:eastAsia="黑体"/>
          <w:b w:val="0"/>
        </w:rPr>
        <w:t>四部分 附件</w:t>
      </w:r>
      <w:bookmarkEnd w:id="79"/>
      <w:bookmarkEnd w:id="80"/>
    </w:p>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bookmarkStart w:id="81" w:name="_Toc15396618"/>
      <w:r>
        <w:rPr>
          <w:rFonts w:hint="eastAsia" w:ascii="仿宋_GB2312" w:eastAsia="仿宋_GB2312" w:cs="宋体"/>
          <w:color w:val="000000"/>
          <w:kern w:val="0"/>
          <w:sz w:val="32"/>
          <w:szCs w:val="32"/>
          <w:shd w:val="clear" w:color="auto" w:fill="FFFFFF"/>
        </w:rPr>
        <w:t>2021年度中共阿坝州委讲师团不涉及特定目标类部门预算项目绩效目标自评，所以无目标自评表。</w:t>
      </w:r>
    </w:p>
    <w:p>
      <w:pPr>
        <w:widowControl/>
        <w:adjustRightInd w:val="0"/>
        <w:snapToGrid w:val="0"/>
        <w:spacing w:line="580" w:lineRule="exact"/>
        <w:contextualSpacing/>
        <w:jc w:val="left"/>
      </w:pPr>
    </w:p>
    <w:p>
      <w:pPr>
        <w:pStyle w:val="2"/>
        <w:spacing w:before="93"/>
      </w:pPr>
    </w:p>
    <w:p/>
    <w:p>
      <w:pPr>
        <w:pStyle w:val="2"/>
        <w:spacing w:before="93"/>
      </w:pPr>
    </w:p>
    <w:p/>
    <w:p>
      <w:pPr>
        <w:pStyle w:val="2"/>
        <w:spacing w:before="93"/>
      </w:pPr>
    </w:p>
    <w:p/>
    <w:p>
      <w:pPr>
        <w:pStyle w:val="2"/>
        <w:spacing w:before="93"/>
      </w:pPr>
    </w:p>
    <w:p/>
    <w:p>
      <w:pPr>
        <w:pStyle w:val="2"/>
        <w:spacing w:before="93"/>
      </w:pPr>
    </w:p>
    <w:p/>
    <w:p>
      <w:pPr>
        <w:pStyle w:val="2"/>
        <w:spacing w:before="93"/>
      </w:pPr>
    </w:p>
    <w:p/>
    <w:p>
      <w:pPr>
        <w:pStyle w:val="2"/>
        <w:spacing w:before="93"/>
      </w:pPr>
    </w:p>
    <w:p/>
    <w:p>
      <w:pPr>
        <w:pStyle w:val="2"/>
        <w:spacing w:before="93"/>
      </w:pPr>
    </w:p>
    <w:p/>
    <w:p>
      <w:pPr>
        <w:pStyle w:val="2"/>
        <w:spacing w:before="93"/>
      </w:pPr>
    </w:p>
    <w:p/>
    <w:p/>
    <w:p/>
    <w:p>
      <w:pPr>
        <w:pStyle w:val="2"/>
        <w:spacing w:before="93"/>
      </w:pPr>
    </w:p>
    <w:p/>
    <w:p>
      <w:pPr>
        <w:spacing w:line="600" w:lineRule="exact"/>
        <w:jc w:val="center"/>
        <w:outlineLvl w:val="0"/>
        <w:rPr>
          <w:rFonts w:ascii="仿宋" w:eastAsia="仿宋"/>
        </w:rPr>
      </w:pPr>
      <w:bookmarkStart w:id="82" w:name="_Toc115798231"/>
      <w:r>
        <w:rPr>
          <w:rFonts w:hint="eastAsia" w:ascii="黑体" w:eastAsia="黑体"/>
          <w:sz w:val="44"/>
          <w:szCs w:val="44"/>
        </w:rPr>
        <w:t>第</w:t>
      </w:r>
      <w:r>
        <w:rPr>
          <w:rStyle w:val="17"/>
          <w:rFonts w:hint="eastAsia" w:ascii="黑体" w:eastAsia="黑体"/>
          <w:b w:val="0"/>
        </w:rPr>
        <w:t>五部分 附表</w:t>
      </w:r>
      <w:bookmarkEnd w:id="78"/>
      <w:bookmarkEnd w:id="81"/>
      <w:bookmarkEnd w:id="82"/>
      <w:bookmarkStart w:id="83" w:name="_Toc15396619"/>
    </w:p>
    <w:p>
      <w:pPr>
        <w:pStyle w:val="4"/>
        <w:rPr>
          <w:rFonts w:ascii="仿宋" w:eastAsia="仿宋"/>
        </w:rPr>
      </w:pPr>
      <w:bookmarkStart w:id="84" w:name="_Toc115798232"/>
      <w:r>
        <w:rPr>
          <w:rFonts w:hint="eastAsia" w:ascii="仿宋" w:eastAsia="仿宋"/>
          <w:b w:val="0"/>
        </w:rPr>
        <w:t>一、收</w:t>
      </w:r>
      <w:r>
        <w:rPr>
          <w:rStyle w:val="18"/>
          <w:rFonts w:hint="eastAsia" w:ascii="仿宋" w:eastAsia="仿宋"/>
          <w:b w:val="0"/>
          <w:bCs w:val="0"/>
        </w:rPr>
        <w:t>入支出决算总表</w:t>
      </w:r>
      <w:bookmarkEnd w:id="83"/>
      <w:bookmarkEnd w:id="84"/>
    </w:p>
    <w:p>
      <w:pPr>
        <w:pStyle w:val="4"/>
        <w:rPr>
          <w:rFonts w:ascii="仿宋" w:eastAsia="仿宋"/>
        </w:rPr>
      </w:pPr>
      <w:bookmarkStart w:id="85" w:name="_Toc15396620"/>
      <w:bookmarkStart w:id="86" w:name="_Toc115798233"/>
      <w:r>
        <w:rPr>
          <w:rFonts w:hint="eastAsia" w:ascii="仿宋" w:eastAsia="仿宋"/>
          <w:b w:val="0"/>
        </w:rPr>
        <w:t>二、收</w:t>
      </w:r>
      <w:r>
        <w:rPr>
          <w:rStyle w:val="18"/>
          <w:rFonts w:hint="eastAsia" w:ascii="仿宋" w:eastAsia="仿宋"/>
          <w:b w:val="0"/>
          <w:bCs w:val="0"/>
        </w:rPr>
        <w:t>入决算表</w:t>
      </w:r>
      <w:bookmarkEnd w:id="85"/>
      <w:bookmarkEnd w:id="86"/>
    </w:p>
    <w:p>
      <w:pPr>
        <w:pStyle w:val="4"/>
        <w:rPr>
          <w:rFonts w:ascii="仿宋" w:eastAsia="仿宋"/>
        </w:rPr>
      </w:pPr>
      <w:bookmarkStart w:id="87" w:name="_Toc15396621"/>
      <w:bookmarkStart w:id="88" w:name="_Toc115798234"/>
      <w:r>
        <w:rPr>
          <w:rStyle w:val="18"/>
          <w:rFonts w:hint="eastAsia" w:ascii="仿宋" w:eastAsia="仿宋"/>
          <w:b w:val="0"/>
          <w:bCs w:val="0"/>
        </w:rPr>
        <w:t>三、</w:t>
      </w:r>
      <w:r>
        <w:rPr>
          <w:rFonts w:hint="eastAsia" w:ascii="仿宋" w:eastAsia="仿宋"/>
          <w:b w:val="0"/>
        </w:rPr>
        <w:t>支</w:t>
      </w:r>
      <w:r>
        <w:rPr>
          <w:rStyle w:val="18"/>
          <w:rFonts w:hint="eastAsia" w:ascii="仿宋" w:eastAsia="仿宋"/>
          <w:b w:val="0"/>
          <w:bCs w:val="0"/>
        </w:rPr>
        <w:t>出决算表</w:t>
      </w:r>
      <w:bookmarkEnd w:id="87"/>
      <w:bookmarkEnd w:id="88"/>
    </w:p>
    <w:p>
      <w:pPr>
        <w:pStyle w:val="4"/>
        <w:rPr>
          <w:rFonts w:ascii="仿宋" w:eastAsia="仿宋"/>
          <w:b w:val="0"/>
        </w:rPr>
      </w:pPr>
      <w:bookmarkStart w:id="89" w:name="_Toc15396622"/>
      <w:bookmarkStart w:id="90" w:name="_Toc115798235"/>
      <w:r>
        <w:rPr>
          <w:rStyle w:val="18"/>
          <w:rFonts w:hint="eastAsia" w:ascii="仿宋" w:eastAsia="仿宋"/>
          <w:b w:val="0"/>
          <w:bCs w:val="0"/>
        </w:rPr>
        <w:t>四、</w:t>
      </w:r>
      <w:r>
        <w:rPr>
          <w:rFonts w:hint="eastAsia" w:ascii="仿宋" w:eastAsia="仿宋"/>
          <w:b w:val="0"/>
        </w:rPr>
        <w:t>财</w:t>
      </w:r>
      <w:r>
        <w:rPr>
          <w:rStyle w:val="18"/>
          <w:rFonts w:hint="eastAsia" w:ascii="仿宋" w:eastAsia="仿宋"/>
          <w:b w:val="0"/>
          <w:bCs w:val="0"/>
        </w:rPr>
        <w:t>政拨款收入支出决算总表</w:t>
      </w:r>
      <w:bookmarkEnd w:id="89"/>
      <w:bookmarkEnd w:id="90"/>
    </w:p>
    <w:p>
      <w:pPr>
        <w:pStyle w:val="4"/>
        <w:rPr>
          <w:rStyle w:val="18"/>
          <w:rFonts w:ascii="仿宋" w:eastAsia="仿宋"/>
          <w:b w:val="0"/>
          <w:bCs w:val="0"/>
        </w:rPr>
      </w:pPr>
      <w:bookmarkStart w:id="91" w:name="_Toc15396623"/>
      <w:bookmarkStart w:id="92" w:name="_Toc115798236"/>
      <w:r>
        <w:rPr>
          <w:rStyle w:val="18"/>
          <w:rFonts w:hint="eastAsia" w:ascii="仿宋" w:eastAsia="仿宋"/>
          <w:b w:val="0"/>
          <w:bCs w:val="0"/>
        </w:rPr>
        <w:t>五、</w:t>
      </w:r>
      <w:r>
        <w:rPr>
          <w:rFonts w:hint="eastAsia" w:ascii="仿宋" w:eastAsia="仿宋"/>
          <w:b w:val="0"/>
        </w:rPr>
        <w:t>财</w:t>
      </w:r>
      <w:r>
        <w:rPr>
          <w:rStyle w:val="18"/>
          <w:rFonts w:hint="eastAsia" w:ascii="仿宋" w:eastAsia="仿宋"/>
          <w:b w:val="0"/>
          <w:bCs w:val="0"/>
        </w:rPr>
        <w:t>政拨款支出决算明细表</w:t>
      </w:r>
      <w:bookmarkEnd w:id="91"/>
      <w:bookmarkEnd w:id="92"/>
      <w:bookmarkStart w:id="93" w:name="_Toc15396624"/>
    </w:p>
    <w:p>
      <w:pPr>
        <w:pStyle w:val="4"/>
        <w:rPr>
          <w:rFonts w:ascii="仿宋" w:eastAsia="仿宋"/>
        </w:rPr>
      </w:pPr>
      <w:bookmarkStart w:id="94" w:name="_Toc115798237"/>
      <w:r>
        <w:rPr>
          <w:rStyle w:val="18"/>
          <w:rFonts w:hint="eastAsia" w:ascii="仿宋" w:eastAsia="仿宋"/>
          <w:b w:val="0"/>
          <w:bCs w:val="0"/>
        </w:rPr>
        <w:t>六、</w:t>
      </w:r>
      <w:r>
        <w:rPr>
          <w:rFonts w:hint="eastAsia" w:ascii="仿宋" w:eastAsia="仿宋"/>
          <w:b w:val="0"/>
        </w:rPr>
        <w:t>一</w:t>
      </w:r>
      <w:r>
        <w:rPr>
          <w:rStyle w:val="18"/>
          <w:rFonts w:hint="eastAsia" w:ascii="仿宋" w:eastAsia="仿宋"/>
          <w:b w:val="0"/>
          <w:bCs w:val="0"/>
        </w:rPr>
        <w:t>般公共预算财政拨款支出决算表</w:t>
      </w:r>
      <w:bookmarkEnd w:id="93"/>
      <w:bookmarkEnd w:id="94"/>
    </w:p>
    <w:p>
      <w:pPr>
        <w:pStyle w:val="4"/>
        <w:rPr>
          <w:rFonts w:ascii="仿宋" w:eastAsia="仿宋"/>
        </w:rPr>
      </w:pPr>
      <w:bookmarkStart w:id="95" w:name="_Toc15396625"/>
      <w:bookmarkStart w:id="96" w:name="_Toc115798238"/>
      <w:r>
        <w:rPr>
          <w:rStyle w:val="18"/>
          <w:rFonts w:hint="eastAsia" w:ascii="仿宋" w:eastAsia="仿宋"/>
          <w:b w:val="0"/>
          <w:bCs w:val="0"/>
        </w:rPr>
        <w:t>七、</w:t>
      </w:r>
      <w:r>
        <w:rPr>
          <w:rFonts w:hint="eastAsia" w:ascii="仿宋" w:eastAsia="仿宋"/>
          <w:b w:val="0"/>
        </w:rPr>
        <w:t>一</w:t>
      </w:r>
      <w:r>
        <w:rPr>
          <w:rStyle w:val="18"/>
          <w:rFonts w:hint="eastAsia" w:ascii="仿宋" w:eastAsia="仿宋"/>
          <w:b w:val="0"/>
          <w:bCs w:val="0"/>
        </w:rPr>
        <w:t>般公共预算财政拨款支出决算明细表</w:t>
      </w:r>
      <w:bookmarkEnd w:id="95"/>
      <w:bookmarkEnd w:id="96"/>
    </w:p>
    <w:p>
      <w:pPr>
        <w:pStyle w:val="4"/>
        <w:rPr>
          <w:rFonts w:ascii="仿宋" w:eastAsia="仿宋"/>
        </w:rPr>
      </w:pPr>
      <w:bookmarkStart w:id="97" w:name="_Toc15396626"/>
      <w:bookmarkStart w:id="98" w:name="_Toc115798239"/>
      <w:r>
        <w:rPr>
          <w:rStyle w:val="18"/>
          <w:rFonts w:hint="eastAsia" w:ascii="仿宋" w:eastAsia="仿宋"/>
          <w:b w:val="0"/>
          <w:bCs w:val="0"/>
        </w:rPr>
        <w:t>八、</w:t>
      </w:r>
      <w:r>
        <w:rPr>
          <w:rFonts w:hint="eastAsia" w:ascii="仿宋" w:eastAsia="仿宋"/>
          <w:b w:val="0"/>
        </w:rPr>
        <w:t>一</w:t>
      </w:r>
      <w:r>
        <w:rPr>
          <w:rStyle w:val="18"/>
          <w:rFonts w:hint="eastAsia" w:ascii="仿宋" w:eastAsia="仿宋"/>
          <w:b w:val="0"/>
          <w:bCs w:val="0"/>
        </w:rPr>
        <w:t>般公共预算财政拨款基本支出决算表</w:t>
      </w:r>
      <w:bookmarkEnd w:id="97"/>
      <w:bookmarkEnd w:id="98"/>
    </w:p>
    <w:p>
      <w:pPr>
        <w:pStyle w:val="4"/>
        <w:rPr>
          <w:rFonts w:ascii="仿宋" w:eastAsia="仿宋"/>
        </w:rPr>
      </w:pPr>
      <w:bookmarkStart w:id="99" w:name="_Toc15396627"/>
      <w:bookmarkStart w:id="100" w:name="_Toc115798240"/>
      <w:r>
        <w:rPr>
          <w:rStyle w:val="18"/>
          <w:rFonts w:hint="eastAsia" w:ascii="仿宋" w:eastAsia="仿宋"/>
          <w:b w:val="0"/>
          <w:bCs w:val="0"/>
        </w:rPr>
        <w:t>九、</w:t>
      </w:r>
      <w:r>
        <w:rPr>
          <w:rFonts w:hint="eastAsia" w:ascii="仿宋" w:eastAsia="仿宋"/>
          <w:b w:val="0"/>
        </w:rPr>
        <w:t>一</w:t>
      </w:r>
      <w:r>
        <w:rPr>
          <w:rStyle w:val="18"/>
          <w:rFonts w:hint="eastAsia" w:ascii="仿宋" w:eastAsia="仿宋"/>
          <w:b w:val="0"/>
          <w:bCs w:val="0"/>
        </w:rPr>
        <w:t>般公共预算财政拨款项目支出决算表</w:t>
      </w:r>
      <w:bookmarkEnd w:id="99"/>
      <w:bookmarkEnd w:id="100"/>
    </w:p>
    <w:p>
      <w:pPr>
        <w:pStyle w:val="4"/>
        <w:rPr>
          <w:rFonts w:ascii="仿宋" w:eastAsia="仿宋"/>
        </w:rPr>
      </w:pPr>
      <w:bookmarkStart w:id="101" w:name="_Toc15396628"/>
      <w:bookmarkStart w:id="102" w:name="_Toc115798241"/>
      <w:r>
        <w:rPr>
          <w:rStyle w:val="18"/>
          <w:rFonts w:hint="eastAsia" w:ascii="仿宋" w:eastAsia="仿宋"/>
          <w:b w:val="0"/>
          <w:bCs w:val="0"/>
        </w:rPr>
        <w:t>十、</w:t>
      </w:r>
      <w:r>
        <w:rPr>
          <w:rFonts w:hint="eastAsia" w:ascii="仿宋" w:eastAsia="仿宋"/>
          <w:b w:val="0"/>
        </w:rPr>
        <w:t>一</w:t>
      </w:r>
      <w:r>
        <w:rPr>
          <w:rStyle w:val="18"/>
          <w:rFonts w:hint="eastAsia" w:ascii="仿宋" w:eastAsia="仿宋"/>
          <w:b w:val="0"/>
          <w:bCs w:val="0"/>
        </w:rPr>
        <w:t>般公共预算财政拨款“三公”经费支出决算表</w:t>
      </w:r>
      <w:bookmarkEnd w:id="101"/>
      <w:bookmarkEnd w:id="102"/>
    </w:p>
    <w:p>
      <w:pPr>
        <w:pStyle w:val="4"/>
        <w:rPr>
          <w:rFonts w:ascii="仿宋" w:eastAsia="仿宋"/>
        </w:rPr>
      </w:pPr>
      <w:bookmarkStart w:id="103" w:name="_Toc15396629"/>
      <w:bookmarkStart w:id="104" w:name="_Toc115798242"/>
      <w:r>
        <w:rPr>
          <w:rStyle w:val="18"/>
          <w:rFonts w:hint="eastAsia" w:ascii="仿宋" w:eastAsia="仿宋"/>
          <w:b w:val="0"/>
          <w:bCs w:val="0"/>
        </w:rPr>
        <w:t>十一、</w:t>
      </w:r>
      <w:r>
        <w:rPr>
          <w:rFonts w:hint="eastAsia" w:ascii="仿宋" w:eastAsia="仿宋"/>
          <w:b w:val="0"/>
        </w:rPr>
        <w:t>政</w:t>
      </w:r>
      <w:r>
        <w:rPr>
          <w:rStyle w:val="18"/>
          <w:rFonts w:hint="eastAsia" w:ascii="仿宋" w:eastAsia="仿宋"/>
          <w:b w:val="0"/>
          <w:bCs w:val="0"/>
        </w:rPr>
        <w:t>府性基金预算财政拨款收入支出决算表</w:t>
      </w:r>
      <w:bookmarkEnd w:id="103"/>
      <w:bookmarkEnd w:id="104"/>
    </w:p>
    <w:p>
      <w:pPr>
        <w:pStyle w:val="4"/>
        <w:rPr>
          <w:rFonts w:ascii="仿宋" w:eastAsia="仿宋"/>
        </w:rPr>
      </w:pPr>
      <w:bookmarkStart w:id="105" w:name="_Toc15396630"/>
      <w:bookmarkStart w:id="106" w:name="_Toc115798243"/>
      <w:r>
        <w:rPr>
          <w:rStyle w:val="18"/>
          <w:rFonts w:hint="eastAsia" w:ascii="仿宋" w:eastAsia="仿宋"/>
          <w:b w:val="0"/>
          <w:bCs w:val="0"/>
        </w:rPr>
        <w:t>十二、</w:t>
      </w:r>
      <w:r>
        <w:rPr>
          <w:rFonts w:hint="eastAsia" w:ascii="仿宋" w:eastAsia="仿宋"/>
          <w:b w:val="0"/>
        </w:rPr>
        <w:t>政</w:t>
      </w:r>
      <w:r>
        <w:rPr>
          <w:rStyle w:val="18"/>
          <w:rFonts w:hint="eastAsia" w:ascii="仿宋" w:eastAsia="仿宋"/>
          <w:b w:val="0"/>
          <w:bCs w:val="0"/>
        </w:rPr>
        <w:t>府性基金预算财政拨款“三公”经费支出决算表</w:t>
      </w:r>
      <w:bookmarkEnd w:id="105"/>
      <w:bookmarkEnd w:id="106"/>
    </w:p>
    <w:p>
      <w:pPr>
        <w:pStyle w:val="4"/>
        <w:rPr>
          <w:rStyle w:val="18"/>
          <w:rFonts w:ascii="仿宋" w:eastAsia="仿宋"/>
          <w:b w:val="0"/>
          <w:bCs w:val="0"/>
        </w:rPr>
      </w:pPr>
      <w:bookmarkStart w:id="107" w:name="_Toc15396631"/>
      <w:bookmarkStart w:id="108" w:name="_Toc115798244"/>
      <w:r>
        <w:rPr>
          <w:rStyle w:val="18"/>
          <w:rFonts w:hint="eastAsia" w:ascii="仿宋" w:eastAsia="仿宋"/>
          <w:b w:val="0"/>
          <w:bCs w:val="0"/>
        </w:rPr>
        <w:t>十三、国有资本经营预算财政拨款收入支出决算表</w:t>
      </w:r>
      <w:bookmarkEnd w:id="107"/>
      <w:bookmarkEnd w:id="108"/>
    </w:p>
    <w:p>
      <w:pPr>
        <w:pStyle w:val="4"/>
        <w:rPr>
          <w:rStyle w:val="18"/>
          <w:rFonts w:ascii="仿宋" w:eastAsia="仿宋"/>
          <w:b w:val="0"/>
          <w:bCs w:val="0"/>
        </w:rPr>
      </w:pPr>
      <w:bookmarkStart w:id="109" w:name="_Toc115798245"/>
      <w:r>
        <w:rPr>
          <w:rStyle w:val="18"/>
          <w:rFonts w:hint="eastAsia" w:ascii="仿宋" w:eastAsia="仿宋"/>
          <w:b w:val="0"/>
          <w:bCs w:val="0"/>
        </w:rPr>
        <w:t>十四、国有资本经营预算财政拨款支出决算表</w:t>
      </w:r>
      <w:bookmarkEnd w:id="109"/>
    </w:p>
    <w:sectPr>
      <w:footerReference r:id="rId6" w:type="first"/>
      <w:footerReference r:id="rId5"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514674"/>
      <w:docPartObj>
        <w:docPartGallery w:val="AutoText"/>
      </w:docPartObj>
    </w:sdtPr>
    <w:sdtContent>
      <w:p>
        <w:pPr>
          <w:pStyle w:val="8"/>
          <w:jc w:val="center"/>
        </w:pPr>
        <w:r>
          <w:fldChar w:fldCharType="begin"/>
        </w:r>
        <w:r>
          <w:instrText xml:space="preserve">PAGE   \* MERGEFORMAT</w:instrText>
        </w:r>
        <w:r>
          <w:fldChar w:fldCharType="separate"/>
        </w:r>
        <w:r>
          <w:rPr>
            <w:lang w:val="zh-CN"/>
          </w:rPr>
          <w:t>14</w:t>
        </w:r>
        <w:r>
          <w:fldChar w:fldCharType="end"/>
        </w:r>
      </w:p>
    </w:sdtContent>
  </w:sdt>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0103295"/>
      <w:docPartObj>
        <w:docPartGallery w:val="AutoText"/>
      </w:docPartObj>
    </w:sdtPr>
    <w:sdtContent>
      <w:p>
        <w:pPr>
          <w:pStyle w:val="8"/>
          <w:jc w:val="center"/>
        </w:pPr>
        <w:r>
          <w:fldChar w:fldCharType="begin"/>
        </w:r>
        <w:r>
          <w:instrText xml:space="preserve">PAGE   \* MERGEFORMAT</w:instrText>
        </w:r>
        <w:r>
          <w:fldChar w:fldCharType="separate"/>
        </w:r>
        <w:r>
          <w:rPr>
            <w:lang w:val="zh-CN"/>
          </w:rPr>
          <w:t>1</w:t>
        </w:r>
        <w: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WQ5NzQ3MDA5YWIxNGY1ZmMzZjkzYTllNTYwNzdhNmEifQ=="/>
  </w:docVars>
  <w:rsids>
    <w:rsidRoot w:val="008C6A67"/>
    <w:rsid w:val="00017C06"/>
    <w:rsid w:val="00190606"/>
    <w:rsid w:val="00375638"/>
    <w:rsid w:val="00454CC2"/>
    <w:rsid w:val="004F41C9"/>
    <w:rsid w:val="004F482C"/>
    <w:rsid w:val="005227EC"/>
    <w:rsid w:val="00540AB2"/>
    <w:rsid w:val="005C0A7B"/>
    <w:rsid w:val="005D736E"/>
    <w:rsid w:val="008C6A67"/>
    <w:rsid w:val="00BA46A9"/>
    <w:rsid w:val="00E30A3C"/>
    <w:rsid w:val="00F35AC6"/>
    <w:rsid w:val="04753F69"/>
    <w:rsid w:val="067D155B"/>
    <w:rsid w:val="0CA26251"/>
    <w:rsid w:val="0CC53C5B"/>
    <w:rsid w:val="0CF307C8"/>
    <w:rsid w:val="0D93524D"/>
    <w:rsid w:val="0EF56A7A"/>
    <w:rsid w:val="0EF73DED"/>
    <w:rsid w:val="13166FBF"/>
    <w:rsid w:val="154D68CC"/>
    <w:rsid w:val="15D867AD"/>
    <w:rsid w:val="19AF7825"/>
    <w:rsid w:val="1A7323FB"/>
    <w:rsid w:val="1C1D3CD6"/>
    <w:rsid w:val="202A22FB"/>
    <w:rsid w:val="21486EDD"/>
    <w:rsid w:val="22304E28"/>
    <w:rsid w:val="225D6A4A"/>
    <w:rsid w:val="234379EE"/>
    <w:rsid w:val="248F6BD1"/>
    <w:rsid w:val="26661BB3"/>
    <w:rsid w:val="2749585F"/>
    <w:rsid w:val="2AA64C74"/>
    <w:rsid w:val="2B02198D"/>
    <w:rsid w:val="2D902F3B"/>
    <w:rsid w:val="2F2203B5"/>
    <w:rsid w:val="2FE51D9B"/>
    <w:rsid w:val="30150964"/>
    <w:rsid w:val="30187B0D"/>
    <w:rsid w:val="30534F57"/>
    <w:rsid w:val="311429CA"/>
    <w:rsid w:val="37610933"/>
    <w:rsid w:val="37AF6638"/>
    <w:rsid w:val="39234255"/>
    <w:rsid w:val="399A3C89"/>
    <w:rsid w:val="3AA21047"/>
    <w:rsid w:val="3BC74A4B"/>
    <w:rsid w:val="3BE360D2"/>
    <w:rsid w:val="3E972545"/>
    <w:rsid w:val="41C23CEA"/>
    <w:rsid w:val="43BB4D4C"/>
    <w:rsid w:val="464B69A4"/>
    <w:rsid w:val="47422245"/>
    <w:rsid w:val="484D62D8"/>
    <w:rsid w:val="49683351"/>
    <w:rsid w:val="51063C86"/>
    <w:rsid w:val="52AA4AE5"/>
    <w:rsid w:val="56002BDB"/>
    <w:rsid w:val="56CB143B"/>
    <w:rsid w:val="58F74FE4"/>
    <w:rsid w:val="59C11092"/>
    <w:rsid w:val="5A282699"/>
    <w:rsid w:val="5AAC42CA"/>
    <w:rsid w:val="5B2D7FCE"/>
    <w:rsid w:val="5C7028FB"/>
    <w:rsid w:val="5D4D22AF"/>
    <w:rsid w:val="5EDB5F93"/>
    <w:rsid w:val="5F9B2385"/>
    <w:rsid w:val="60C46D71"/>
    <w:rsid w:val="60D66AA5"/>
    <w:rsid w:val="650B5856"/>
    <w:rsid w:val="6A691804"/>
    <w:rsid w:val="6BE50451"/>
    <w:rsid w:val="6C044D7B"/>
    <w:rsid w:val="6DB620A5"/>
    <w:rsid w:val="6DC9002B"/>
    <w:rsid w:val="71E867AC"/>
    <w:rsid w:val="71FD39A0"/>
    <w:rsid w:val="73674600"/>
    <w:rsid w:val="75F60AC7"/>
    <w:rsid w:val="77664B3C"/>
    <w:rsid w:val="79F24465"/>
    <w:rsid w:val="7C4D5A61"/>
    <w:rsid w:val="7E143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pacing w:before="30" w:beforeLines="30"/>
    </w:pPr>
    <w:rPr>
      <w:rFonts w:ascii="仿宋_GB2312" w:eastAsia="仿宋_GB2312"/>
      <w:kern w:val="0"/>
      <w:sz w:val="30"/>
    </w:rPr>
  </w:style>
  <w:style w:type="paragraph" w:styleId="6">
    <w:name w:val="toc 3"/>
    <w:basedOn w:val="1"/>
    <w:next w:val="1"/>
    <w:qFormat/>
    <w:uiPriority w:val="39"/>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39"/>
    <w:pPr>
      <w:tabs>
        <w:tab w:val="right" w:leader="dot" w:pos="8296"/>
      </w:tabs>
      <w:spacing w:before="93"/>
      <w:jc w:val="center"/>
    </w:pPr>
    <w:rPr>
      <w:rFonts w:ascii="仿宋" w:eastAsia="仿宋"/>
      <w:sz w:val="28"/>
      <w:szCs w:val="28"/>
    </w:rPr>
  </w:style>
  <w:style w:type="paragraph" w:styleId="11">
    <w:name w:val="toc 2"/>
    <w:basedOn w:val="1"/>
    <w:next w:val="1"/>
    <w:qFormat/>
    <w:uiPriority w:val="39"/>
    <w:pPr>
      <w:tabs>
        <w:tab w:val="right" w:leader="dot" w:pos="8296"/>
      </w:tabs>
      <w:ind w:left="200" w:leftChars="200"/>
    </w:pPr>
  </w:style>
  <w:style w:type="paragraph" w:styleId="12">
    <w:name w:val="Normal (Web)"/>
    <w:basedOn w:val="1"/>
    <w:semiHidden/>
    <w:unhideWhenUsed/>
    <w:qFormat/>
    <w:uiPriority w:val="99"/>
    <w:pPr>
      <w:widowControl/>
      <w:spacing w:beforeAutospacing="1" w:afterAutospacing="1"/>
      <w:jc w:val="left"/>
    </w:pPr>
    <w:rPr>
      <w:rFonts w:hint="eastAsia" w:ascii="宋体" w:hAnsi="宋体"/>
      <w:kern w:val="0"/>
      <w:sz w:val="24"/>
    </w:rPr>
  </w:style>
  <w:style w:type="character" w:styleId="15">
    <w:name w:val="Strong"/>
    <w:basedOn w:val="14"/>
    <w:qFormat/>
    <w:uiPriority w:val="0"/>
    <w:rPr>
      <w:b/>
    </w:rPr>
  </w:style>
  <w:style w:type="character" w:styleId="16">
    <w:name w:val="Hyperlink"/>
    <w:basedOn w:val="14"/>
    <w:qFormat/>
    <w:uiPriority w:val="99"/>
    <w:rPr>
      <w:color w:val="0000FF"/>
      <w:u w:val="single"/>
    </w:rPr>
  </w:style>
  <w:style w:type="character" w:customStyle="1" w:styleId="17">
    <w:name w:val="标题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字符"/>
    <w:basedOn w:val="1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uiPriority w:val="0"/>
    <w:rPr>
      <w:rFonts w:ascii="Times New Roman" w:hAnsi="Times New Roman"/>
      <w:sz w:val="18"/>
      <w:szCs w:val="18"/>
    </w:rPr>
  </w:style>
  <w:style w:type="character" w:customStyle="1" w:styleId="21">
    <w:name w:val="Body Text Char"/>
    <w:basedOn w:val="14"/>
    <w:uiPriority w:val="0"/>
    <w:rPr>
      <w:rFonts w:ascii="Times New Roman" w:hAnsi="Times New Roman"/>
      <w:szCs w:val="24"/>
    </w:rPr>
  </w:style>
  <w:style w:type="paragraph" w:customStyle="1" w:styleId="2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列表段落1"/>
    <w:basedOn w:val="1"/>
    <w:qFormat/>
    <w:uiPriority w:val="0"/>
    <w:pPr>
      <w:ind w:firstLine="200" w:firstLineChars="200"/>
    </w:pPr>
  </w:style>
  <w:style w:type="character" w:customStyle="1" w:styleId="27">
    <w:name w:val="标题 2 Char"/>
    <w:basedOn w:val="14"/>
    <w:link w:val="4"/>
    <w:qFormat/>
    <w:uiPriority w:val="0"/>
    <w:rPr>
      <w:rFonts w:ascii="Cambria" w:hAnsi="Cambria" w:eastAsia="宋体" w:cs="Times New Roman"/>
      <w:b/>
      <w:bCs/>
      <w:kern w:val="2"/>
      <w:sz w:val="32"/>
      <w:szCs w:val="32"/>
      <w:lang w:val="en-US" w:eastAsia="zh-CN" w:bidi="ar-SA"/>
    </w:rPr>
  </w:style>
  <w:style w:type="paragraph" w:customStyle="1" w:styleId="28">
    <w:name w:val="TOC Heading"/>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29">
    <w:name w:val="页脚 Char"/>
    <w:basedOn w:val="14"/>
    <w:link w:val="8"/>
    <w:uiPriority w:val="99"/>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2996;&#35762;&#24072;&#22242;\&#37096;&#38376;&#20844;&#24320;&#34920;&#26684;&#21046;&#20316;&#2227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35762;&#24072;&#22242;\&#37096;&#38376;&#20844;&#24320;&#34920;&#26684;&#21046;&#20316;&#2227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2996;&#35762;&#24072;&#22242;\&#37096;&#38376;&#20844;&#24320;&#34920;&#26684;&#21046;&#20316;&#22270;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2996;&#35762;&#24072;&#22242;\&#37096;&#38376;&#20844;&#24320;&#34920;&#26684;&#21046;&#20316;&#22270;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2996;&#35762;&#24072;&#22242;\&#37096;&#38376;&#20844;&#24320;&#34920;&#26684;&#21046;&#20316;&#22270;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2996;&#35762;&#24072;&#22242;\&#37096;&#38376;&#20844;&#24320;&#34920;&#26684;&#21046;&#20316;&#22270;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2&#24180;\2020&#24180;&#37096;&#38376;&#20915;&#31639;&#12289;2021&#24180;&#37096;&#38376;&#39044;&#31639;&#20844;&#24320;&#19987;&#39033;&#33258;&#26597;&#24773;&#20917;&#21450;2021&#24180;&#37096;&#38376;&#20915;&#31639;&#20844;&#24320;&#36164;&#26009;\2021&#24180;&#37096;&#38376;&#20915;&#31639;&#20844;&#24320;&#36164;&#26009;\&#24030;&#22996;&#35762;&#24072;&#22242;\&#37096;&#38376;&#20844;&#24320;&#34920;&#26684;&#21046;&#20316;&#22270;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[部门公开表格制作图1.xls]Sheet1!$A$2</c:f>
              <c:strCache>
                <c:ptCount val="1"/>
                <c:pt idx="0">
                  <c:v>图1　收、支决算总计变动情况</c:v>
                </c:pt>
              </c:strCache>
            </c:strRef>
          </c:tx>
          <c:invertIfNegative val="0"/>
          <c:dLbls>
            <c:delete val="1"/>
          </c:dLbls>
          <c:cat>
            <c:strRef>
              <c:f>[部门公开表格制作图1.xls]Sheet1!$B$1:$C$1</c:f>
              <c:strCache>
                <c:ptCount val="2"/>
                <c:pt idx="0">
                  <c:v>2020（万元）</c:v>
                </c:pt>
                <c:pt idx="1">
                  <c:v>2021（万元）</c:v>
                </c:pt>
              </c:strCache>
            </c:strRef>
          </c:cat>
          <c:val>
            <c:numRef>
              <c:f>[部门公开表格制作图1.xls]Sheet1!$B$2:$C$2</c:f>
              <c:numCache>
                <c:formatCode>General</c:formatCode>
                <c:ptCount val="2"/>
                <c:pt idx="0">
                  <c:v>139.84</c:v>
                </c:pt>
                <c:pt idx="1">
                  <c:v>170.21</c:v>
                </c:pt>
              </c:numCache>
            </c:numRef>
          </c:val>
        </c:ser>
        <c:dLbls>
          <c:showLegendKey val="0"/>
          <c:showVal val="0"/>
          <c:showCatName val="0"/>
          <c:showSerName val="0"/>
          <c:showPercent val="0"/>
          <c:showBubbleSize val="0"/>
        </c:dLbls>
        <c:gapWidth val="150"/>
        <c:overlap val="100"/>
        <c:axId val="361917440"/>
        <c:axId val="361923328"/>
      </c:barChart>
      <c:catAx>
        <c:axId val="3619174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1923328"/>
        <c:crosses val="autoZero"/>
        <c:auto val="1"/>
        <c:lblAlgn val="ctr"/>
        <c:lblOffset val="100"/>
        <c:noMultiLvlLbl val="0"/>
      </c:catAx>
      <c:valAx>
        <c:axId val="36192332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1917440"/>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dPt>
          <c:dLbls>
            <c:delete val="1"/>
          </c:dLbls>
          <c:cat>
            <c:strRef>
              <c:f>[部门公开表格制作图2.xls]Sheet1!$A$2</c:f>
              <c:strCache>
                <c:ptCount val="1"/>
                <c:pt idx="0">
                  <c:v>201一般公共预算财政拨款收入</c:v>
                </c:pt>
              </c:strCache>
            </c:strRef>
          </c:cat>
          <c:val>
            <c:numRef>
              <c:f>[部门公开表格制作图2.xls]Sheet1!$B$2</c:f>
              <c:numCache>
                <c:formatCode>General</c:formatCode>
                <c:ptCount val="1"/>
                <c:pt idx="0">
                  <c:v>170.21</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dPt>
          <c:dPt>
            <c:idx val="1"/>
            <c:bubble3D val="0"/>
          </c:dPt>
          <c:dLbls>
            <c:delete val="1"/>
          </c:dLbls>
          <c:cat>
            <c:strRef>
              <c:f>[部门公开表格制作图3.xls]Sheet1!$A$4:$A$5</c:f>
              <c:strCache>
                <c:ptCount val="2"/>
                <c:pt idx="0">
                  <c:v>基本支出</c:v>
                </c:pt>
                <c:pt idx="1">
                  <c:v>项目支出</c:v>
                </c:pt>
              </c:strCache>
            </c:strRef>
          </c:cat>
          <c:val>
            <c:numRef>
              <c:f>[部门公开表格制作图3.xls]Sheet1!$B$4:$B$5</c:f>
              <c:numCache>
                <c:formatCode>General</c:formatCode>
                <c:ptCount val="2"/>
                <c:pt idx="0">
                  <c:v>153.97</c:v>
                </c:pt>
                <c:pt idx="1">
                  <c:v>16.24</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[部门公开表格制作图4.xls]Sheet1!$A$2</c:f>
              <c:strCache>
                <c:ptCount val="1"/>
                <c:pt idx="0">
                  <c:v>图4　财政拨款收、支决算总计变动情况</c:v>
                </c:pt>
              </c:strCache>
            </c:strRef>
          </c:tx>
          <c:invertIfNegative val="0"/>
          <c:dLbls>
            <c:delete val="1"/>
          </c:dLbls>
          <c:cat>
            <c:strRef>
              <c:f>[部门公开表格制作图4.xls]Sheet1!$B$1:$C$1</c:f>
              <c:strCache>
                <c:ptCount val="2"/>
                <c:pt idx="0">
                  <c:v>2021（万元）</c:v>
                </c:pt>
                <c:pt idx="1">
                  <c:v>2020（万元）</c:v>
                </c:pt>
              </c:strCache>
            </c:strRef>
          </c:cat>
          <c:val>
            <c:numRef>
              <c:f>[部门公开表格制作图4.xls]Sheet1!$B$2:$C$2</c:f>
              <c:numCache>
                <c:formatCode>General</c:formatCode>
                <c:ptCount val="2"/>
                <c:pt idx="0">
                  <c:v>170.21</c:v>
                </c:pt>
                <c:pt idx="1">
                  <c:v>139.84</c:v>
                </c:pt>
              </c:numCache>
            </c:numRef>
          </c:val>
        </c:ser>
        <c:dLbls>
          <c:showLegendKey val="0"/>
          <c:showVal val="0"/>
          <c:showCatName val="0"/>
          <c:showSerName val="0"/>
          <c:showPercent val="0"/>
          <c:showBubbleSize val="0"/>
        </c:dLbls>
        <c:gapWidth val="150"/>
        <c:overlap val="100"/>
        <c:axId val="362156416"/>
        <c:axId val="362157952"/>
      </c:barChart>
      <c:catAx>
        <c:axId val="36215641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2157952"/>
        <c:crosses val="autoZero"/>
        <c:auto val="1"/>
        <c:lblAlgn val="ctr"/>
        <c:lblOffset val="100"/>
        <c:noMultiLvlLbl val="0"/>
      </c:catAx>
      <c:valAx>
        <c:axId val="3621579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2156416"/>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[部门公开表格制作图5.xls]Sheet1!$A$2</c:f>
              <c:strCache>
                <c:ptCount val="1"/>
                <c:pt idx="0">
                  <c:v>图5　一般公共预算财政拨款支出</c:v>
                </c:pt>
              </c:strCache>
            </c:strRef>
          </c:tx>
          <c:invertIfNegative val="0"/>
          <c:dLbls>
            <c:delete val="1"/>
          </c:dLbls>
          <c:cat>
            <c:strRef>
              <c:f>[部门公开表格制作图5.xls]Sheet1!$B$1:$C$1</c:f>
              <c:strCache>
                <c:ptCount val="2"/>
                <c:pt idx="0">
                  <c:v>2021年</c:v>
                </c:pt>
                <c:pt idx="1">
                  <c:v>2020年</c:v>
                </c:pt>
              </c:strCache>
            </c:strRef>
          </c:cat>
          <c:val>
            <c:numRef>
              <c:f>[部门公开表格制作图5.xls]Sheet1!$B$2:$C$2</c:f>
              <c:numCache>
                <c:formatCode>General</c:formatCode>
                <c:ptCount val="2"/>
                <c:pt idx="0">
                  <c:v>170.21</c:v>
                </c:pt>
                <c:pt idx="1">
                  <c:v>139.84</c:v>
                </c:pt>
              </c:numCache>
            </c:numRef>
          </c:val>
        </c:ser>
        <c:dLbls>
          <c:showLegendKey val="0"/>
          <c:showVal val="0"/>
          <c:showCatName val="0"/>
          <c:showSerName val="0"/>
          <c:showPercent val="0"/>
          <c:showBubbleSize val="0"/>
        </c:dLbls>
        <c:gapWidth val="150"/>
        <c:overlap val="100"/>
        <c:axId val="362186240"/>
        <c:axId val="362187776"/>
      </c:barChart>
      <c:catAx>
        <c:axId val="3621862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2187776"/>
        <c:crosses val="autoZero"/>
        <c:auto val="1"/>
        <c:lblAlgn val="ctr"/>
        <c:lblOffset val="100"/>
        <c:noMultiLvlLbl val="0"/>
      </c:catAx>
      <c:valAx>
        <c:axId val="3621877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2186240"/>
        <c:crosses val="autoZero"/>
        <c:crossBetween val="between"/>
      </c:valAx>
      <c:spPr>
        <a:solidFill>
          <a:srgbClr val="FFFFFF">
            <a:alpha val="100000"/>
          </a:srgbClr>
        </a:solidFill>
        <a:ln w="3175">
          <a:noFill/>
        </a:ln>
      </c:spPr>
    </c:plotArea>
    <c:plotVisOnly val="1"/>
    <c:dispBlanksAs val="gap"/>
    <c:showDLblsOverMax val="0"/>
  </c:chart>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Lbls>
            <c:delete val="1"/>
          </c:dLbls>
          <c:cat>
            <c:strRef>
              <c:f>[部门公开表格制作图6.xls]Sheet1!$A$3:$A$6</c:f>
              <c:strCache>
                <c:ptCount val="4"/>
                <c:pt idx="0">
                  <c:v>住房保障支出</c:v>
                </c:pt>
                <c:pt idx="1">
                  <c:v>卫生健康支出</c:v>
                </c:pt>
                <c:pt idx="2">
                  <c:v>社会保障与服务支出</c:v>
                </c:pt>
                <c:pt idx="3">
                  <c:v>一般公共预算财政拨款支出</c:v>
                </c:pt>
              </c:strCache>
            </c:strRef>
          </c:cat>
          <c:val>
            <c:numRef>
              <c:f>[部门公开表格制作图6.xls]Sheet1!$B$3:$B$6</c:f>
              <c:numCache>
                <c:formatCode>General</c:formatCode>
                <c:ptCount val="4"/>
                <c:pt idx="0">
                  <c:v>7.32</c:v>
                </c:pt>
                <c:pt idx="1">
                  <c:v>5.55</c:v>
                </c:pt>
                <c:pt idx="2">
                  <c:v>11.05</c:v>
                </c:pt>
                <c:pt idx="3">
                  <c:v>146.29</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delete val="1"/>
          </c:dLbls>
          <c:cat>
            <c:strRef>
              <c:f>[部门公开表格制作图7.xls]Sheet1!$A$3:$A$4</c:f>
              <c:strCache>
                <c:ptCount val="2"/>
                <c:pt idx="0">
                  <c:v>公务接待费支出</c:v>
                </c:pt>
                <c:pt idx="1">
                  <c:v>公务用车购置及运行维护费支出</c:v>
                </c:pt>
              </c:strCache>
            </c:strRef>
          </c:cat>
          <c:val>
            <c:numRef>
              <c:f>[部门公开表格制作图7.xls]Sheet1!$B$3:$B$4</c:f>
              <c:numCache>
                <c:formatCode>General</c:formatCode>
                <c:ptCount val="2"/>
                <c:pt idx="0">
                  <c:v>0.15</c:v>
                </c:pt>
                <c:pt idx="1">
                  <c:v>8.46</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CD99E-AEE5-442D-9DAC-51D1B044D0EC}">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17</Pages>
  <Words>4656</Words>
  <Characters>5237</Characters>
  <Lines>57</Lines>
  <Paragraphs>16</Paragraphs>
  <TotalTime>1</TotalTime>
  <ScaleCrop>false</ScaleCrop>
  <LinksUpToDate>false</LinksUpToDate>
  <CharactersWithSpaces>5376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L R W</cp:lastModifiedBy>
  <cp:lastPrinted>2022-10-04T09:58:00Z</cp:lastPrinted>
  <dcterms:modified xsi:type="dcterms:W3CDTF">2022-10-04T10:43:56Z</dcterms:modified>
  <dc:title>四川省***</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3F43243E03EF4C158F0A8A717A1AB464</vt:lpwstr>
  </property>
</Properties>
</file>