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55CF8">
      <w:pPr>
        <w:rPr>
          <w:rFonts w:ascii="Times New Roman" w:hAnsi="Times New Roman"/>
        </w:rPr>
      </w:pPr>
    </w:p>
    <w:p w14:paraId="189EC0D0">
      <w:pPr>
        <w:rPr>
          <w:rFonts w:ascii="Times New Roman" w:hAnsi="Times New Roman"/>
        </w:rPr>
      </w:pPr>
    </w:p>
    <w:p w14:paraId="7D1FE5C9">
      <w:pPr>
        <w:rPr>
          <w:rFonts w:ascii="Times New Roman" w:hAnsi="Times New Roman"/>
        </w:rPr>
      </w:pPr>
    </w:p>
    <w:p w14:paraId="06023656">
      <w:pPr>
        <w:ind w:firstLine="1050" w:firstLineChars="500"/>
        <w:rPr>
          <w:rFonts w:ascii="Times New Roman" w:hAnsi="Times New Roman"/>
        </w:rPr>
      </w:pPr>
    </w:p>
    <w:p w14:paraId="6F5CBCF4">
      <w:pPr>
        <w:ind w:firstLine="1050" w:firstLineChars="500"/>
        <w:rPr>
          <w:rFonts w:ascii="Times New Roman" w:hAnsi="Times New Roman"/>
        </w:rPr>
      </w:pPr>
      <w:bookmarkStart w:id="0" w:name="_GoBack"/>
      <w:bookmarkEnd w:id="0"/>
    </w:p>
    <w:p w14:paraId="5C81F88F">
      <w:pPr>
        <w:ind w:firstLine="1760" w:firstLineChars="400"/>
        <w:rPr>
          <w:rFonts w:ascii="Times New Roman" w:hAnsi="Times New Roman" w:eastAsia="黑体"/>
          <w:sz w:val="44"/>
          <w:szCs w:val="44"/>
        </w:rPr>
      </w:pPr>
    </w:p>
    <w:p w14:paraId="01D3B2A5">
      <w:pPr>
        <w:ind w:firstLine="1760" w:firstLineChars="400"/>
        <w:rPr>
          <w:rFonts w:ascii="Times New Roman" w:hAnsi="Times New Roman" w:eastAsia="黑体"/>
          <w:sz w:val="44"/>
          <w:szCs w:val="44"/>
        </w:rPr>
      </w:pPr>
    </w:p>
    <w:p w14:paraId="78F8A8D9">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阿坝州归国华侨联合会</w:t>
      </w:r>
    </w:p>
    <w:p w14:paraId="6176C225">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2023年预算</w:t>
      </w:r>
    </w:p>
    <w:p w14:paraId="09C541CC">
      <w:pPr>
        <w:jc w:val="center"/>
        <w:rPr>
          <w:rFonts w:ascii="Times New Roman" w:hAnsi="Times New Roman" w:eastAsia="方正小标宋_GBK"/>
          <w:sz w:val="44"/>
          <w:szCs w:val="44"/>
        </w:rPr>
      </w:pPr>
    </w:p>
    <w:p w14:paraId="0C14AE2D">
      <w:pPr>
        <w:jc w:val="center"/>
        <w:rPr>
          <w:rFonts w:ascii="Times New Roman" w:hAnsi="Times New Roman" w:eastAsia="方正小标宋_GBK"/>
          <w:sz w:val="44"/>
          <w:szCs w:val="44"/>
        </w:rPr>
      </w:pPr>
    </w:p>
    <w:p w14:paraId="72F489F9">
      <w:pPr>
        <w:jc w:val="center"/>
        <w:rPr>
          <w:rFonts w:ascii="Times New Roman" w:hAnsi="Times New Roman" w:eastAsia="方正小标宋_GBK"/>
          <w:sz w:val="44"/>
          <w:szCs w:val="44"/>
        </w:rPr>
      </w:pPr>
    </w:p>
    <w:p w14:paraId="6208ABA6">
      <w:pPr>
        <w:jc w:val="center"/>
        <w:rPr>
          <w:rFonts w:ascii="Times New Roman" w:hAnsi="Times New Roman" w:eastAsia="方正小标宋_GBK"/>
          <w:sz w:val="44"/>
          <w:szCs w:val="44"/>
        </w:rPr>
      </w:pPr>
    </w:p>
    <w:p w14:paraId="7BDB376C">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272CCCA9">
      <w:pPr>
        <w:jc w:val="center"/>
        <w:rPr>
          <w:rFonts w:ascii="Times New Roman" w:hAnsi="Times New Roman" w:eastAsia="楷体_GB2312"/>
          <w:sz w:val="32"/>
          <w:szCs w:val="32"/>
        </w:rPr>
      </w:pPr>
      <w:r>
        <w:rPr>
          <w:rFonts w:ascii="Times New Roman" w:hAnsi="Times New Roman" w:eastAsia="楷体_GB2312"/>
          <w:sz w:val="32"/>
          <w:szCs w:val="32"/>
        </w:rPr>
        <w:t>2023年1月</w:t>
      </w:r>
      <w:r>
        <w:rPr>
          <w:rFonts w:hint="eastAsia" w:ascii="Times New Roman" w:hAnsi="Times New Roman" w:eastAsia="楷体_GB2312"/>
          <w:sz w:val="32"/>
          <w:szCs w:val="32"/>
          <w:lang w:val="en-US" w:eastAsia="zh-CN"/>
        </w:rPr>
        <w:t>18</w:t>
      </w:r>
      <w:r>
        <w:rPr>
          <w:rFonts w:ascii="Times New Roman" w:hAnsi="Times New Roman" w:eastAsia="楷体_GB2312"/>
          <w:sz w:val="32"/>
          <w:szCs w:val="32"/>
        </w:rPr>
        <w:t>日</w:t>
      </w:r>
    </w:p>
    <w:p w14:paraId="6B70FF4E">
      <w:pPr>
        <w:ind w:firstLine="1760" w:firstLineChars="400"/>
        <w:rPr>
          <w:rFonts w:ascii="Times New Roman" w:hAnsi="Times New Roman" w:eastAsia="黑体"/>
          <w:sz w:val="44"/>
          <w:szCs w:val="44"/>
        </w:rPr>
      </w:pPr>
    </w:p>
    <w:p w14:paraId="02CA0704">
      <w:pPr>
        <w:ind w:firstLine="1760" w:firstLineChars="400"/>
        <w:rPr>
          <w:rFonts w:ascii="Times New Roman" w:hAnsi="Times New Roman" w:eastAsia="黑体"/>
          <w:sz w:val="44"/>
          <w:szCs w:val="44"/>
        </w:rPr>
      </w:pPr>
    </w:p>
    <w:p w14:paraId="65EBC82B">
      <w:pPr>
        <w:ind w:firstLine="1760" w:firstLineChars="400"/>
        <w:rPr>
          <w:rFonts w:ascii="Times New Roman" w:hAnsi="Times New Roman" w:eastAsia="黑体"/>
          <w:sz w:val="44"/>
          <w:szCs w:val="44"/>
        </w:rPr>
      </w:pPr>
    </w:p>
    <w:p w14:paraId="2144F6A8">
      <w:pPr>
        <w:ind w:firstLine="1760" w:firstLineChars="400"/>
        <w:rPr>
          <w:rFonts w:ascii="Times New Roman" w:hAnsi="Times New Roman" w:eastAsia="黑体"/>
          <w:sz w:val="44"/>
          <w:szCs w:val="44"/>
        </w:rPr>
      </w:pPr>
    </w:p>
    <w:p w14:paraId="61750651">
      <w:pPr>
        <w:ind w:firstLine="1760" w:firstLineChars="400"/>
        <w:rPr>
          <w:rFonts w:ascii="Times New Roman" w:hAnsi="Times New Roman" w:eastAsia="黑体"/>
          <w:sz w:val="44"/>
          <w:szCs w:val="44"/>
        </w:rPr>
      </w:pPr>
    </w:p>
    <w:p w14:paraId="0F20FAC2">
      <w:pPr>
        <w:rPr>
          <w:rFonts w:ascii="Times New Roman" w:hAnsi="Times New Roman" w:eastAsia="黑体"/>
          <w:sz w:val="44"/>
          <w:szCs w:val="44"/>
        </w:rPr>
      </w:pPr>
    </w:p>
    <w:p w14:paraId="1C2F03EF">
      <w:pPr>
        <w:ind w:firstLine="1760" w:firstLineChars="400"/>
        <w:rPr>
          <w:rFonts w:ascii="Times New Roman" w:hAnsi="Times New Roman" w:eastAsia="黑体"/>
          <w:sz w:val="44"/>
          <w:szCs w:val="44"/>
        </w:rPr>
      </w:pPr>
    </w:p>
    <w:p w14:paraId="49250CB4">
      <w:pPr>
        <w:rPr>
          <w:rFonts w:ascii="Times New Roman" w:hAnsi="Times New Roman" w:eastAsia="黑体"/>
          <w:sz w:val="44"/>
          <w:szCs w:val="44"/>
        </w:rPr>
      </w:pPr>
    </w:p>
    <w:p w14:paraId="2083B770">
      <w:pPr>
        <w:jc w:val="center"/>
        <w:rPr>
          <w:rFonts w:ascii="Times New Roman" w:hAnsi="Times New Roman" w:eastAsia="黑体"/>
          <w:sz w:val="52"/>
          <w:szCs w:val="52"/>
        </w:rPr>
        <w:sectPr>
          <w:headerReference r:id="rId3" w:type="default"/>
          <w:pgSz w:w="11906" w:h="16838"/>
          <w:pgMar w:top="1440" w:right="1800" w:bottom="1440" w:left="1800" w:header="851" w:footer="992" w:gutter="0"/>
          <w:pgNumType w:fmt="decimal" w:start="1"/>
          <w:cols w:space="720" w:num="1"/>
          <w:docGrid w:type="lines" w:linePitch="312" w:charSpace="0"/>
        </w:sectPr>
      </w:pPr>
    </w:p>
    <w:p w14:paraId="6782427C">
      <w:pPr>
        <w:jc w:val="center"/>
        <w:rPr>
          <w:rFonts w:ascii="Times New Roman" w:hAnsi="Times New Roman" w:eastAsia="黑体"/>
          <w:sz w:val="52"/>
          <w:szCs w:val="52"/>
        </w:rPr>
      </w:pPr>
      <w:r>
        <w:rPr>
          <w:rFonts w:ascii="Times New Roman" w:hAnsi="Times New Roman" w:eastAsia="黑体"/>
          <w:sz w:val="52"/>
          <w:szCs w:val="52"/>
        </w:rPr>
        <w:t>目录</w:t>
      </w:r>
    </w:p>
    <w:p w14:paraId="594CE590">
      <w:pPr>
        <w:ind w:firstLine="3080" w:firstLineChars="700"/>
        <w:rPr>
          <w:rFonts w:ascii="Times New Roman" w:hAnsi="Times New Roman" w:eastAsia="黑体"/>
          <w:sz w:val="44"/>
          <w:szCs w:val="44"/>
        </w:rPr>
      </w:pPr>
    </w:p>
    <w:p w14:paraId="659D359C">
      <w:pPr>
        <w:pStyle w:val="11"/>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14:paraId="0DBD636B">
      <w:pPr>
        <w:rPr>
          <w:rFonts w:ascii="Times New Roman" w:hAnsi="Times New Roman" w:eastAsia="仿宋_GB2312"/>
          <w:sz w:val="32"/>
          <w:szCs w:val="32"/>
        </w:rPr>
      </w:pPr>
      <w:r>
        <w:rPr>
          <w:rFonts w:ascii="Times New Roman" w:hAnsi="Times New Roman" w:eastAsia="仿宋_GB2312"/>
          <w:sz w:val="32"/>
          <w:szCs w:val="32"/>
        </w:rPr>
        <w:t>（一）部门职能简介..................................................................1</w:t>
      </w:r>
    </w:p>
    <w:p w14:paraId="1A1574F4">
      <w:pPr>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二</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机构设置情况</w:t>
      </w:r>
      <w:r>
        <w:rPr>
          <w:rFonts w:ascii="Times New Roman" w:hAnsi="Times New Roman" w:eastAsia="仿宋_GB2312"/>
          <w:sz w:val="32"/>
          <w:szCs w:val="32"/>
        </w:rPr>
        <w:t>..................................................................1</w:t>
      </w:r>
    </w:p>
    <w:p w14:paraId="79E272E9">
      <w:pPr>
        <w:rPr>
          <w:rFonts w:hint="eastAsia" w:ascii="Times New Roman" w:hAnsi="Times New Roman" w:eastAsia="仿宋_GB2312"/>
          <w:sz w:val="32"/>
          <w:szCs w:val="32"/>
          <w:lang w:val="en-US" w:eastAsia="zh-CN"/>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三</w:t>
      </w:r>
      <w:r>
        <w:rPr>
          <w:rFonts w:ascii="Times New Roman" w:hAnsi="Times New Roman" w:eastAsia="仿宋_GB2312"/>
          <w:sz w:val="32"/>
          <w:szCs w:val="32"/>
        </w:rPr>
        <w:t>）2023年重点工作..............................................................</w:t>
      </w:r>
      <w:r>
        <w:rPr>
          <w:rFonts w:hint="eastAsia" w:ascii="Times New Roman" w:hAnsi="Times New Roman" w:eastAsia="仿宋_GB2312"/>
          <w:sz w:val="32"/>
          <w:szCs w:val="32"/>
          <w:lang w:val="en-US" w:eastAsia="zh-CN"/>
        </w:rPr>
        <w:t>1</w:t>
      </w:r>
    </w:p>
    <w:p w14:paraId="4AECC49C">
      <w:pPr>
        <w:rPr>
          <w:rFonts w:hint="eastAsia" w:ascii="Times New Roman" w:hAnsi="Times New Roman" w:eastAsia="仿宋_GB2312"/>
          <w:sz w:val="32"/>
          <w:szCs w:val="32"/>
          <w:lang w:eastAsia="zh-CN"/>
        </w:rPr>
      </w:pPr>
      <w:r>
        <w:rPr>
          <w:rFonts w:ascii="Times New Roman" w:hAnsi="Times New Roman" w:eastAsia="黑体"/>
          <w:sz w:val="32"/>
          <w:szCs w:val="32"/>
        </w:rPr>
        <w:t>二、部门预算单位构成</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p>
    <w:p w14:paraId="408E6C71">
      <w:pPr>
        <w:rPr>
          <w:rFonts w:hint="eastAsia" w:ascii="Times New Roman" w:hAnsi="Times New Roman" w:eastAsia="仿宋_GB2312"/>
          <w:sz w:val="32"/>
          <w:szCs w:val="32"/>
          <w:lang w:val="en-US" w:eastAsia="zh-CN"/>
        </w:rPr>
      </w:pP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r>
        <w:rPr>
          <w:rFonts w:ascii="Times New Roman" w:hAnsi="Times New Roman" w:eastAsia="黑体"/>
          <w:sz w:val="32"/>
          <w:szCs w:val="32"/>
        </w:rPr>
        <w:t>（</w:t>
      </w:r>
      <w:r>
        <w:rPr>
          <w:rFonts w:ascii="Times New Roman" w:hAnsi="Times New Roman" w:eastAsia="仿宋_GB2312"/>
          <w:sz w:val="32"/>
          <w:szCs w:val="32"/>
        </w:rPr>
        <w:t>一）收入预算情况..................................................................</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（二）支出预算情况..................................................................</w:t>
      </w:r>
      <w:r>
        <w:rPr>
          <w:rFonts w:hint="eastAsia" w:ascii="Times New Roman" w:hAnsi="Times New Roman" w:eastAsia="仿宋_GB2312"/>
          <w:sz w:val="32"/>
          <w:szCs w:val="32"/>
          <w:lang w:val="en-US" w:eastAsia="zh-CN"/>
        </w:rPr>
        <w:t>3</w:t>
      </w:r>
    </w:p>
    <w:p w14:paraId="35EF8010">
      <w:pPr>
        <w:rPr>
          <w:rFonts w:hint="eastAsia" w:ascii="Times New Roman" w:hAnsi="Times New Roman" w:eastAsia="仿宋_GB2312"/>
          <w:sz w:val="32"/>
          <w:szCs w:val="32"/>
          <w:lang w:eastAsia="zh-CN"/>
        </w:rPr>
      </w:pPr>
      <w:r>
        <w:rPr>
          <w:rFonts w:ascii="Times New Roman" w:hAnsi="Times New Roman" w:eastAsia="黑体"/>
          <w:sz w:val="32"/>
          <w:szCs w:val="32"/>
        </w:rPr>
        <w:t>四、财政拨款收支预算情况说明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p>
    <w:p w14:paraId="28643720">
      <w:pPr>
        <w:rPr>
          <w:rFonts w:hint="eastAsia" w:ascii="Times New Roman" w:hAnsi="Times New Roman" w:eastAsia="仿宋_GB2312"/>
          <w:sz w:val="32"/>
          <w:szCs w:val="32"/>
          <w:lang w:val="en-US" w:eastAsia="zh-CN"/>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（一）一般公共预算当年拨款规模变化情况..........................</w:t>
      </w:r>
      <w:r>
        <w:rPr>
          <w:rFonts w:hint="eastAsia" w:ascii="Times New Roman" w:hAnsi="Times New Roman" w:eastAsia="仿宋_GB2312"/>
          <w:sz w:val="32"/>
          <w:szCs w:val="32"/>
          <w:lang w:val="en-US" w:eastAsia="zh-CN"/>
        </w:rPr>
        <w:t>4</w:t>
      </w:r>
    </w:p>
    <w:p w14:paraId="40C6B7D7">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（二）一般公共预算当年拨款结构情况..................................</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（三）一般公共预算当年拨款具体使用情况..........................</w:t>
      </w:r>
      <w:r>
        <w:rPr>
          <w:rFonts w:hint="eastAsia" w:ascii="Times New Roman" w:hAnsi="Times New Roman" w:eastAsia="仿宋_GB2312"/>
          <w:sz w:val="32"/>
          <w:szCs w:val="32"/>
          <w:lang w:val="en-US" w:eastAsia="zh-CN"/>
        </w:rPr>
        <w:t>4</w:t>
      </w:r>
    </w:p>
    <w:p w14:paraId="4913FF4A">
      <w:pPr>
        <w:rPr>
          <w:rFonts w:hint="eastAsia" w:ascii="Times New Roman" w:hAnsi="Times New Roman" w:eastAsia="仿宋_GB2312"/>
          <w:sz w:val="32"/>
          <w:szCs w:val="32"/>
          <w:lang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5</w:t>
      </w:r>
    </w:p>
    <w:p w14:paraId="107187C7">
      <w:pPr>
        <w:rPr>
          <w:rFonts w:hint="eastAsia" w:ascii="Times New Roman" w:hAnsi="Times New Roman" w:eastAsia="仿宋_GB2312"/>
          <w:sz w:val="32"/>
          <w:szCs w:val="32"/>
          <w:lang w:eastAsia="zh-CN"/>
        </w:rPr>
      </w:pP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5</w:t>
      </w:r>
    </w:p>
    <w:p w14:paraId="4BE1AC88">
      <w:pPr>
        <w:rPr>
          <w:rFonts w:hint="eastAsia" w:ascii="Times New Roman" w:hAnsi="Times New Roman" w:eastAsia="黑体"/>
          <w:sz w:val="32"/>
          <w:szCs w:val="32"/>
          <w:lang w:val="en-US" w:eastAsia="zh-CN"/>
        </w:rPr>
      </w:pPr>
      <w:r>
        <w:rPr>
          <w:rFonts w:ascii="Times New Roman" w:hAnsi="Times New Roman" w:eastAsia="黑体"/>
          <w:sz w:val="32"/>
          <w:szCs w:val="32"/>
        </w:rPr>
        <w:t>八、政府性基金预算支出情况说明..........................................</w:t>
      </w:r>
      <w:r>
        <w:rPr>
          <w:rFonts w:hint="eastAsia" w:ascii="Times New Roman" w:hAnsi="Times New Roman" w:eastAsia="黑体"/>
          <w:sz w:val="32"/>
          <w:szCs w:val="32"/>
          <w:lang w:val="en-US" w:eastAsia="zh-CN"/>
        </w:rPr>
        <w:t>6</w:t>
      </w:r>
      <w:r>
        <w:rPr>
          <w:rFonts w:ascii="Times New Roman" w:hAnsi="Times New Roman" w:eastAsia="黑体"/>
          <w:sz w:val="32"/>
          <w:szCs w:val="32"/>
        </w:rPr>
        <w:t>九、</w:t>
      </w:r>
      <w:r>
        <w:rPr>
          <w:rFonts w:hint="eastAsia" w:ascii="Times New Roman" w:hAnsi="Times New Roman" w:eastAsia="黑体"/>
          <w:sz w:val="32"/>
          <w:szCs w:val="32"/>
          <w:lang w:val="en-US" w:eastAsia="zh-CN"/>
        </w:rPr>
        <w:t>国有资本经营预算支出</w:t>
      </w:r>
      <w:r>
        <w:rPr>
          <w:rFonts w:ascii="Times New Roman" w:hAnsi="Times New Roman" w:eastAsia="黑体"/>
          <w:sz w:val="32"/>
          <w:szCs w:val="32"/>
        </w:rPr>
        <w:t>情况说明......................................</w:t>
      </w:r>
      <w:r>
        <w:rPr>
          <w:rFonts w:hint="eastAsia" w:ascii="Times New Roman" w:hAnsi="Times New Roman" w:eastAsia="黑体"/>
          <w:sz w:val="32"/>
          <w:szCs w:val="32"/>
          <w:lang w:val="en-US" w:eastAsia="zh-CN"/>
        </w:rPr>
        <w:t>6</w:t>
      </w:r>
    </w:p>
    <w:p w14:paraId="66CE3575">
      <w:pP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r>
        <w:rPr>
          <w:rFonts w:hint="eastAsia" w:ascii="Times New Roman" w:hAnsi="Times New Roman" w:eastAsia="黑体"/>
          <w:sz w:val="32"/>
          <w:szCs w:val="32"/>
          <w:lang w:val="en-US" w:eastAsia="zh-CN"/>
        </w:rPr>
        <w:t>6</w:t>
      </w:r>
      <w:r>
        <w:rPr>
          <w:rFonts w:ascii="Times New Roman" w:hAnsi="Times New Roman" w:eastAsia="黑体"/>
          <w:sz w:val="32"/>
          <w:szCs w:val="32"/>
        </w:rPr>
        <w:t>十</w:t>
      </w:r>
      <w:r>
        <w:rPr>
          <w:rFonts w:hint="eastAsia" w:ascii="Times New Roman" w:hAnsi="Times New Roman" w:eastAsia="黑体"/>
          <w:sz w:val="32"/>
          <w:szCs w:val="32"/>
          <w:lang w:val="en-US" w:eastAsia="zh-CN"/>
        </w:rPr>
        <w:t>一</w:t>
      </w:r>
      <w:r>
        <w:rPr>
          <w:rFonts w:ascii="Times New Roman" w:hAnsi="Times New Roman" w:eastAsia="黑体"/>
          <w:sz w:val="32"/>
          <w:szCs w:val="32"/>
        </w:rPr>
        <w:t>、名称解释..........................................................................</w:t>
      </w:r>
      <w:r>
        <w:rPr>
          <w:rFonts w:hint="eastAsia" w:ascii="Times New Roman" w:hAnsi="Times New Roman" w:eastAsia="黑体"/>
          <w:sz w:val="32"/>
          <w:szCs w:val="32"/>
          <w:lang w:val="en-US" w:eastAsia="zh-CN"/>
        </w:rPr>
        <w:t>9</w:t>
      </w:r>
    </w:p>
    <w:p w14:paraId="6AB34182">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3D532D6F">
      <w:pPr>
        <w:pStyle w:val="11"/>
        <w:rPr>
          <w:rFonts w:ascii="Times New Roman" w:hAnsi="Times New Roman" w:eastAsia="黑体"/>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14:paraId="06E43620">
      <w:pPr>
        <w:pStyle w:val="11"/>
        <w:rPr>
          <w:rFonts w:ascii="Times New Roman" w:hAnsi="Times New Roman" w:eastAsia="黑体"/>
          <w:sz w:val="32"/>
          <w:szCs w:val="32"/>
        </w:rPr>
      </w:pPr>
      <w:r>
        <w:rPr>
          <w:rFonts w:ascii="Times New Roman" w:hAnsi="Times New Roman" w:eastAsia="黑体"/>
          <w:sz w:val="32"/>
          <w:szCs w:val="32"/>
        </w:rPr>
        <w:t>一、基本职能及主要工作</w:t>
      </w:r>
    </w:p>
    <w:p w14:paraId="02302D82">
      <w:pPr>
        <w:numPr>
          <w:ilvl w:val="0"/>
          <w:numId w:val="1"/>
        </w:numPr>
        <w:ind w:left="0" w:firstLine="640" w:firstLineChars="200"/>
        <w:rPr>
          <w:rFonts w:ascii="Times New Roman" w:hAnsi="Times New Roman" w:eastAsia="楷体_GB2312"/>
          <w:sz w:val="32"/>
          <w:szCs w:val="32"/>
        </w:rPr>
      </w:pPr>
      <w:r>
        <w:rPr>
          <w:rFonts w:ascii="Times New Roman" w:hAnsi="Times New Roman" w:eastAsia="楷体_GB2312"/>
          <w:sz w:val="32"/>
          <w:szCs w:val="32"/>
        </w:rPr>
        <w:t>单位职能简介</w:t>
      </w:r>
    </w:p>
    <w:p w14:paraId="58CFC037">
      <w:pPr>
        <w:spacing w:line="576" w:lineRule="exact"/>
        <w:ind w:firstLine="640" w:firstLineChars="200"/>
        <w:rPr>
          <w:rFonts w:ascii="Times New Roman" w:hAnsi="Times New Roman" w:eastAsia="仿宋"/>
          <w:color w:val="333333"/>
          <w:kern w:val="0"/>
          <w:sz w:val="32"/>
          <w:szCs w:val="32"/>
        </w:rPr>
      </w:pPr>
      <w:r>
        <w:rPr>
          <w:rFonts w:hint="default" w:ascii="Times New Roman" w:hAnsi="Times New Roman" w:eastAsia="方正仿宋_GBK" w:cs="Times New Roman"/>
          <w:color w:val="000000"/>
          <w:kern w:val="2"/>
          <w:sz w:val="32"/>
          <w:szCs w:val="32"/>
          <w:lang w:val="en-US" w:eastAsia="zh-CN" w:bidi="ar"/>
        </w:rPr>
        <w:t>根据文件规定，主要职责是：阿坝藏族羌族自治州归国华侨联合会（简称州侨联）是中共阿坝州委领导下由归侨侨眷组成的全州性人民团体，是党和政府联系广大归侨、侨眷和海外侨胞的桥梁和纽带。按照中国侨联章程开展工作。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p>
    <w:p w14:paraId="1243F03A">
      <w:pPr>
        <w:numPr>
          <w:ilvl w:val="0"/>
          <w:numId w:val="1"/>
        </w:numPr>
        <w:ind w:left="0" w:firstLine="640" w:firstLineChars="200"/>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机构设置情况</w:t>
      </w:r>
    </w:p>
    <w:p w14:paraId="266328FD">
      <w:pPr>
        <w:spacing w:line="576" w:lineRule="exact"/>
        <w:ind w:firstLine="640" w:firstLineChars="200"/>
        <w:rPr>
          <w:rFonts w:hint="default" w:ascii="Times New Roman" w:hAnsi="Times New Roman" w:eastAsia="方正仿宋_GBK" w:cs="Times New Roman"/>
          <w:color w:val="000000"/>
          <w:kern w:val="2"/>
          <w:sz w:val="32"/>
          <w:szCs w:val="32"/>
          <w:lang w:val="en-US" w:eastAsia="zh-CN" w:bidi="ar"/>
        </w:rPr>
      </w:pPr>
      <w:r>
        <w:rPr>
          <w:rFonts w:hint="default" w:ascii="Times New Roman" w:hAnsi="Times New Roman" w:eastAsia="方正仿宋_GBK" w:cs="Times New Roman"/>
          <w:color w:val="000000"/>
          <w:kern w:val="2"/>
          <w:sz w:val="32"/>
          <w:szCs w:val="32"/>
          <w:lang w:val="en-US" w:eastAsia="zh-CN" w:bidi="ar"/>
        </w:rPr>
        <w:t>内设机构1个：综合科。</w:t>
      </w:r>
    </w:p>
    <w:p w14:paraId="60146FF4">
      <w:pPr>
        <w:ind w:firstLine="640" w:firstLineChars="200"/>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lang w:val="en-US" w:eastAsia="zh-CN"/>
        </w:rPr>
        <w:t>三</w:t>
      </w:r>
      <w:r>
        <w:rPr>
          <w:rFonts w:ascii="Times New Roman" w:hAnsi="Times New Roman" w:eastAsia="楷体_GB2312"/>
          <w:sz w:val="32"/>
          <w:szCs w:val="32"/>
        </w:rPr>
        <w:t>）2023年重点工作</w:t>
      </w:r>
    </w:p>
    <w:p w14:paraId="57712EC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firstLine="640" w:firstLineChars="200"/>
        <w:rPr>
          <w:rFonts w:hint="default"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主要任务是坚持以习近平新时代中国特色社会主义思想为指导，深入学习贯彻党的二十大精神，团结凝聚归侨侨眷人士的力量和智慧，进一步增强责任感和使命感，围绕中心，服务大局，履职尽责，积极开展各项工作，助推阿坝高质量发展。</w:t>
      </w:r>
    </w:p>
    <w:p w14:paraId="0F7FCDA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1.加强学习，提升素质。一是根据主管单位州委统战部的计划安排，进一步加强业务工作和政治理论的学习，不断提高思想政治水平和科学文化素养，增强“四个意识”、坚定“四个自信”，做到“两个维护”，捍卫“两个确立”。二是认真学习、深刻领会党的二十大精神的重要意义和精神实质，结合侨联工作实际，采取专题培训、以会代训等多种形式，在港澳台同胞和侨界群众当中掀起学习高潮。强化侨界群众的凝聚力。</w:t>
      </w:r>
    </w:p>
    <w:p w14:paraId="782809E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精心组织品牌活动。采取“请进来”方式积极开展海外联谊，邀请海外人士及社团到我州考察，做好外宾接待工作，确保与重点社团、重点人士的密切联系。为企业“走出去”服务，组织有需求的企业参会交流，为我州企业“走出去”提供优质高效的服务，推动企业与国内侨企、海外侨商的交流合作。</w:t>
      </w:r>
    </w:p>
    <w:p w14:paraId="25DF5C9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3.切实做好护侨助侨工作。持续开展帮扶活动。深入侨界基层访侨情、解民忧，多渠道、多领域、多层面开展走访慰问、社会救济、就业帮扶等工作，加大对困难归侨侨誉的帮扶力度。依法开展侨法宣传活动，加强与司法、执法等部门的沟通和协调，认真做好维护侨益工作。认真做好来信来访工作，对归侨侨着反映较为突出的问题进行调查研究并及时向上级和有关部门反映、帮助解决问题。</w:t>
      </w:r>
    </w:p>
    <w:p w14:paraId="22A3CA82">
      <w:pPr>
        <w:ind w:firstLine="640" w:firstLineChars="200"/>
        <w:rPr>
          <w:rFonts w:ascii="Times New Roman" w:hAnsi="Times New Roman" w:eastAsia="黑体"/>
          <w:sz w:val="32"/>
          <w:szCs w:val="32"/>
        </w:rPr>
      </w:pPr>
      <w:r>
        <w:rPr>
          <w:rFonts w:ascii="Times New Roman" w:hAnsi="Times New Roman" w:eastAsia="黑体"/>
          <w:sz w:val="32"/>
          <w:szCs w:val="32"/>
        </w:rPr>
        <w:t>二、部门预算单位构成</w:t>
      </w:r>
    </w:p>
    <w:p w14:paraId="46313562">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州侨联为州委统战部下属二级预算单位。</w:t>
      </w:r>
    </w:p>
    <w:p w14:paraId="30E05C34">
      <w:pPr>
        <w:pStyle w:val="11"/>
        <w:rPr>
          <w:rFonts w:ascii="Times New Roman" w:hAnsi="Times New Roman" w:eastAsia="黑体"/>
          <w:sz w:val="32"/>
          <w:szCs w:val="32"/>
        </w:rPr>
      </w:pPr>
      <w:r>
        <w:rPr>
          <w:rFonts w:ascii="Times New Roman" w:hAnsi="Times New Roman" w:eastAsia="黑体"/>
          <w:sz w:val="32"/>
          <w:szCs w:val="32"/>
        </w:rPr>
        <w:t>三、收支预算情况说明</w:t>
      </w:r>
    </w:p>
    <w:p w14:paraId="29E6E3F3">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按照综合预算的原则，州侨联所有收入和支出均纳入部门预算管理。</w:t>
      </w:r>
    </w:p>
    <w:p w14:paraId="33E3D2EA">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（一）收入预算情况：州侨联2023年收入预算48.39万元，其中：上年结转0万元；一般公共预算拨款收入48.39万元，占100%。</w:t>
      </w:r>
    </w:p>
    <w:p w14:paraId="664EC078">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（二）支出预算情况：一般公共服务支出35.81万元，社会保障和就业支出6.31万元，卫生健康支出2.60万元，住房保障支出3.67万元。州侨联2023年收支总预算48.39万元,比2022（31.31万元）年收支预算总数增加17.08万元, 主要原因:工资福利支出增加, 公开考试新增1名事业单位人员。</w:t>
      </w:r>
    </w:p>
    <w:p w14:paraId="2C2344D8">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州侨联2023年支出预算48.39元，其中：基本支出42.39万元，占87.6%；项目支出6万元，占12.4%。</w:t>
      </w:r>
    </w:p>
    <w:p w14:paraId="763B3235">
      <w:pPr>
        <w:spacing w:line="576" w:lineRule="exact"/>
        <w:ind w:firstLine="640" w:firstLineChars="200"/>
        <w:rPr>
          <w:rFonts w:hint="eastAsia" w:ascii="Times New Roman" w:hAnsi="Times New Roman" w:eastAsia="黑体"/>
          <w:sz w:val="32"/>
          <w:szCs w:val="32"/>
          <w:lang w:eastAsia="zh-CN"/>
        </w:rPr>
      </w:pPr>
      <w:r>
        <w:rPr>
          <w:rFonts w:ascii="Times New Roman" w:hAnsi="Times New Roman" w:eastAsia="黑体"/>
          <w:sz w:val="32"/>
          <w:szCs w:val="32"/>
        </w:rPr>
        <w:t>四、财政拨款收支预算情况说明</w:t>
      </w:r>
    </w:p>
    <w:p w14:paraId="2C612E91">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2023年财政拨款收支总预算48.39万元,收支预算总数增加17.08万元, 主要原因:工资福利支出增加, 公开考试新增1名事业单位人员。</w:t>
      </w:r>
    </w:p>
    <w:p w14:paraId="10AA088F">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收入包括：事业运行29.81万元，一般行政管理事务6万元,机关事业单位基本养老保险缴费支出4.21万元，机关事业单位职业年金缴费支出2.1万元，事业单位医疗2.17万元，其他行政事业单位医疗支出0.43万元,住房公积金3.67万元。</w:t>
      </w:r>
    </w:p>
    <w:p w14:paraId="7663F47E">
      <w:pPr>
        <w:spacing w:line="540" w:lineRule="exact"/>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支出包括：一般公共服务支出35.81万元，社会保障和就业支出6.31万元，卫生健康支出2.60万元，住房保障支出3.67万元。 </w:t>
      </w:r>
    </w:p>
    <w:p w14:paraId="40690739">
      <w:pPr>
        <w:ind w:firstLine="640" w:firstLineChars="200"/>
        <w:rPr>
          <w:rFonts w:ascii="Times New Roman" w:hAnsi="Times New Roman" w:eastAsia="黑体"/>
          <w:sz w:val="32"/>
          <w:szCs w:val="32"/>
        </w:rPr>
      </w:pPr>
      <w:r>
        <w:rPr>
          <w:rFonts w:ascii="Times New Roman" w:hAnsi="Times New Roman" w:eastAsia="黑体"/>
          <w:sz w:val="32"/>
          <w:szCs w:val="32"/>
        </w:rPr>
        <w:t>五、一般公共预算当年拨款情况说明</w:t>
      </w:r>
    </w:p>
    <w:p w14:paraId="43CAC94E">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（一）一般公共预算当年拨款规模变化情况</w:t>
      </w:r>
    </w:p>
    <w:p w14:paraId="155CC00C">
      <w:pPr>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2023年一般公共预算当年拨款48.39万元，比2022年预算数增加17.08万元, 主要原因:工资福利支出增加, 公开考试新增1名事业单位人员。</w:t>
      </w:r>
    </w:p>
    <w:p w14:paraId="2790EA31">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（二）一般公共预算当年拨款结构情况</w:t>
      </w:r>
    </w:p>
    <w:p w14:paraId="6ECBBF97">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一般公共服务支出35.81万元，占74.00%；社会保障和就业支出6.31万元，占13.05%；医疗卫生与计划生育支出2.60万元，占5.37%；住房保障支出3.67万元，占7.58%。</w:t>
      </w:r>
    </w:p>
    <w:p w14:paraId="7CC5B70F">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（三）一般公共预算当年拨款具体使用情况</w:t>
      </w:r>
    </w:p>
    <w:p w14:paraId="24B7DDBF">
      <w:pP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　  1．一般公共服务统战事务行政运行经费（2012550）2023年预算数为29.81万元，主要用于:人员经费及日常公用经费支出。</w:t>
      </w:r>
    </w:p>
    <w:p w14:paraId="12405F15">
      <w:pP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　　2.一般公共服务统战事务一般行政管理事务经费（2013402）2023年预算数为6万元，主要用于:工作运转类项目经费支出。</w:t>
      </w:r>
    </w:p>
    <w:p w14:paraId="4666D4CC">
      <w:pP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　　3.机关事业单位基本养老保险缴费（2080505）2023年预算数为4.21万元。</w:t>
      </w:r>
    </w:p>
    <w:p w14:paraId="4C47C27E">
      <w:pP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　　4.机关事业单位职业年金缴费（2080506）2023年预算数为2.10万元。</w:t>
      </w:r>
    </w:p>
    <w:p w14:paraId="0F985160">
      <w:pPr>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5.卫生健康支出行政事业单位医疗事业单位医疗（2101102）2023年预算数为2.17万元，主要用于事业单位医疗支出。 </w:t>
      </w:r>
    </w:p>
    <w:p w14:paraId="4BC1CD68">
      <w:pPr>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7. 卫生健康支出其他行政事业单位医疗支出(2101199) 2023年预算数为0.43万元，主要用于事业单位医疗支出。</w:t>
      </w:r>
    </w:p>
    <w:p w14:paraId="55F280EF">
      <w:pPr>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　　6.住房公积金（2210201）2023年预算数为3.67万元。</w:t>
      </w:r>
    </w:p>
    <w:p w14:paraId="51EA1941">
      <w:pPr>
        <w:pStyle w:val="12"/>
        <w:spacing w:before="0" w:line="360" w:lineRule="auto"/>
        <w:ind w:firstLine="640" w:firstLineChars="200"/>
        <w:rPr>
          <w:rFonts w:hint="eastAsia" w:ascii="黑体" w:hAnsi="黑体" w:eastAsia="黑体" w:cs="黑体"/>
          <w:color w:val="000000"/>
          <w:kern w:val="2"/>
          <w:sz w:val="32"/>
          <w:szCs w:val="32"/>
          <w:lang w:val="en-US" w:eastAsia="zh-CN" w:bidi="ar"/>
        </w:rPr>
      </w:pPr>
      <w:r>
        <w:rPr>
          <w:rFonts w:hint="eastAsia" w:ascii="黑体" w:hAnsi="黑体" w:eastAsia="黑体" w:cs="黑体"/>
          <w:color w:val="000000"/>
          <w:kern w:val="2"/>
          <w:sz w:val="32"/>
          <w:szCs w:val="32"/>
          <w:lang w:val="en-US" w:eastAsia="zh-CN" w:bidi="ar"/>
        </w:rPr>
        <w:t>六、一般公共预算基本支出情况说明</w:t>
      </w:r>
    </w:p>
    <w:p w14:paraId="4C786481">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一般公共预算基本支出42.39万元，其中：人员经费38.79万元，主要包括：基本工资、津贴补贴、其他社会保障缴费、绩效工资、机关事业单位基本养老保险缴费、职工基本医疗保险缴费、职业年金缴费、住房公积金。</w:t>
      </w:r>
    </w:p>
    <w:p w14:paraId="10738819">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公用经费3.60万元，主要包括：办公费、水费、邮电费、取暖费、差旅费、培训费、公务接待费、福利费、福利费、公务用车运行维护费、其他商品和服务支出。</w:t>
      </w:r>
    </w:p>
    <w:p w14:paraId="38E08FE0">
      <w:pPr>
        <w:pStyle w:val="12"/>
        <w:spacing w:before="0" w:line="360" w:lineRule="auto"/>
        <w:ind w:firstLine="640" w:firstLineChars="200"/>
        <w:rPr>
          <w:rFonts w:hint="eastAsia" w:ascii="黑体" w:hAnsi="黑体" w:eastAsia="黑体" w:cs="黑体"/>
          <w:color w:val="000000"/>
          <w:kern w:val="2"/>
          <w:sz w:val="32"/>
          <w:szCs w:val="32"/>
          <w:lang w:val="en-US" w:eastAsia="zh-CN" w:bidi="ar"/>
        </w:rPr>
      </w:pPr>
      <w:r>
        <w:rPr>
          <w:rFonts w:hint="eastAsia" w:ascii="黑体" w:hAnsi="黑体" w:eastAsia="黑体" w:cs="黑体"/>
          <w:color w:val="000000"/>
          <w:kern w:val="2"/>
          <w:sz w:val="32"/>
          <w:szCs w:val="32"/>
          <w:lang w:val="en-US" w:eastAsia="zh-CN" w:bidi="ar"/>
        </w:rPr>
        <w:t>七、“三公”经费财政拨款预算安排情况说明</w:t>
      </w:r>
    </w:p>
    <w:p w14:paraId="67A09C42">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2023年“三公”经费财政拨款预算数2.03万元，其中：因公出国（境）经费0万元，公务接待费0.05万元，公务用车购置及运行维护费2万元。</w:t>
      </w:r>
    </w:p>
    <w:p w14:paraId="0D1299C2">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（一）2023年因公出国（境）经费0万元。</w:t>
      </w:r>
    </w:p>
    <w:p w14:paraId="4E775743">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（二）2023年公务接待经费0.05万元。较2022年预算经费0.3万元减少0.25万元，减少83.33%，主要原因是厉行节约、压减接待费。</w:t>
      </w:r>
    </w:p>
    <w:p w14:paraId="59739C3D">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（三）2023年公务用车购置及运行维护费2万元，其中公务用车购置费0万元，公务用车运行费2万元。较2022年预算经费2万元无变化。</w:t>
      </w:r>
    </w:p>
    <w:p w14:paraId="1D0F8A08">
      <w:pPr>
        <w:pStyle w:val="12"/>
        <w:spacing w:before="0" w:line="360" w:lineRule="auto"/>
        <w:ind w:firstLine="640" w:firstLineChars="200"/>
        <w:rPr>
          <w:rFonts w:ascii="Times New Roman" w:hAnsi="Times New Roman" w:eastAsia="黑体"/>
          <w:sz w:val="32"/>
          <w:szCs w:val="32"/>
        </w:rPr>
      </w:pPr>
      <w:r>
        <w:rPr>
          <w:rFonts w:ascii="Times New Roman" w:hAnsi="Times New Roman" w:eastAsia="黑体"/>
          <w:sz w:val="32"/>
          <w:szCs w:val="32"/>
        </w:rPr>
        <w:t>八、政府性基金预算支出情况说明</w:t>
      </w:r>
    </w:p>
    <w:p w14:paraId="540BC9BC">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2023年政府性基金预算拨款安排的支出0万元。较2022年预算经费增加/减少0万元，增长0%，本年无政府性基本预算安排。</w:t>
      </w:r>
    </w:p>
    <w:p w14:paraId="2E10891B">
      <w:pPr>
        <w:pStyle w:val="11"/>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lang w:val="en-US" w:eastAsia="zh-CN"/>
        </w:rPr>
        <w:t>国有资本经营</w:t>
      </w:r>
      <w:r>
        <w:rPr>
          <w:rFonts w:hint="default" w:ascii="Times New Roman" w:hAnsi="Times New Roman" w:eastAsia="方正仿宋_GBK" w:cs="Times New Roman"/>
          <w:kern w:val="0"/>
          <w:sz w:val="32"/>
          <w:szCs w:val="32"/>
        </w:rPr>
        <w:t>预算拨款安排的支出0万元。较202</w:t>
      </w:r>
      <w:r>
        <w:rPr>
          <w:rFonts w:hint="eastAsia" w:ascii="Times New Roman" w:hAnsi="Times New Roman" w:eastAsia="方正仿宋_GBK" w:cs="Times New Roman"/>
          <w:kern w:val="0"/>
          <w:sz w:val="32"/>
          <w:szCs w:val="32"/>
          <w:lang w:val="en-US" w:eastAsia="zh-CN"/>
        </w:rPr>
        <w:t>2</w:t>
      </w:r>
      <w:r>
        <w:rPr>
          <w:rFonts w:hint="default" w:ascii="Times New Roman" w:hAnsi="Times New Roman" w:eastAsia="方正仿宋_GBK" w:cs="Times New Roman"/>
          <w:kern w:val="0"/>
          <w:sz w:val="32"/>
          <w:szCs w:val="32"/>
        </w:rPr>
        <w:t>年预算经费增加/减少0万元，增长0%。</w:t>
      </w:r>
    </w:p>
    <w:p w14:paraId="77A4C350">
      <w:pPr>
        <w:pStyle w:val="12"/>
        <w:spacing w:before="0" w:line="360" w:lineRule="auto"/>
        <w:ind w:firstLine="640" w:firstLineChars="200"/>
        <w:rPr>
          <w:rFonts w:ascii="Times New Roman" w:hAnsi="Times New Roman" w:eastAsia="黑体"/>
          <w:sz w:val="32"/>
          <w:szCs w:val="32"/>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p>
    <w:p w14:paraId="48DC78A2">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（一）机关运行经费</w:t>
      </w:r>
    </w:p>
    <w:p w14:paraId="08FC2FC6">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2023年机关运行经费财政拨款预算为29.81万元，比2022 年预算23.53万元增加6.28万元，增加26.69%，主要原因是2022年12月新进1名事业人员。</w:t>
      </w:r>
    </w:p>
    <w:p w14:paraId="2C1D2078">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（二）政府采购情况</w:t>
      </w:r>
    </w:p>
    <w:p w14:paraId="37178C14">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2023年安排政府采购预算0万元。</w:t>
      </w:r>
    </w:p>
    <w:p w14:paraId="42F61C62">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（三）国有资产占有使用情况</w:t>
      </w:r>
    </w:p>
    <w:p w14:paraId="02C991B4">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截至2022年12月31日，我会固定资产0万元，我会固定资产未单独列分。</w:t>
      </w:r>
    </w:p>
    <w:p w14:paraId="399F3E82">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（四）绩效目标设置情况</w:t>
      </w:r>
    </w:p>
    <w:p w14:paraId="4F6427D4">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2023年通用项目和专用项目均按要求实行绩效目标管理，涉及一般公共预算当年拨款6万元。</w:t>
      </w:r>
    </w:p>
    <w:p w14:paraId="4EC329B7">
      <w:pPr>
        <w:pStyle w:val="12"/>
        <w:spacing w:before="0" w:line="360" w:lineRule="auto"/>
        <w:ind w:firstLine="640" w:firstLineChars="200"/>
        <w:rPr>
          <w:rFonts w:ascii="Times New Roman" w:hAnsi="Times New Roman" w:eastAsia="黑体"/>
          <w:sz w:val="32"/>
          <w:szCs w:val="32"/>
        </w:rPr>
      </w:pPr>
    </w:p>
    <w:p w14:paraId="5B4A2D12">
      <w:pPr>
        <w:pStyle w:val="12"/>
        <w:spacing w:before="0" w:line="360" w:lineRule="auto"/>
        <w:ind w:firstLine="640" w:firstLineChars="200"/>
        <w:rPr>
          <w:rFonts w:ascii="Times New Roman" w:hAnsi="Times New Roman" w:eastAsia="黑体"/>
          <w:sz w:val="32"/>
          <w:szCs w:val="32"/>
        </w:rPr>
      </w:pPr>
    </w:p>
    <w:p w14:paraId="0A005B2B">
      <w:pPr>
        <w:pStyle w:val="12"/>
        <w:spacing w:before="0" w:line="360" w:lineRule="auto"/>
        <w:ind w:firstLine="640" w:firstLineChars="200"/>
        <w:rPr>
          <w:rFonts w:ascii="Times New Roman" w:hAnsi="Times New Roman" w:eastAsia="黑体"/>
          <w:sz w:val="32"/>
          <w:szCs w:val="32"/>
        </w:rPr>
        <w:sectPr>
          <w:footerReference r:id="rId5" w:type="default"/>
          <w:pgSz w:w="11906" w:h="16838"/>
          <w:pgMar w:top="1440" w:right="1800" w:bottom="1440" w:left="1800" w:header="851" w:footer="992" w:gutter="0"/>
          <w:pgNumType w:fmt="decimal" w:start="1"/>
          <w:cols w:space="720" w:num="1"/>
          <w:docGrid w:type="lines" w:linePitch="312" w:charSpace="0"/>
        </w:sectPr>
      </w:pPr>
    </w:p>
    <w:p w14:paraId="17CE5298">
      <w:pPr>
        <w:pStyle w:val="12"/>
        <w:spacing w:before="0" w:line="360" w:lineRule="auto"/>
        <w:ind w:firstLine="640" w:firstLineChars="200"/>
        <w:rPr>
          <w:rFonts w:ascii="Times New Roman" w:hAnsi="Times New Roman" w:eastAsia="黑体"/>
          <w:sz w:val="32"/>
          <w:szCs w:val="32"/>
        </w:rPr>
      </w:pPr>
    </w:p>
    <w:tbl>
      <w:tblPr>
        <w:tblStyle w:val="8"/>
        <w:tblW w:w="0" w:type="auto"/>
        <w:tblInd w:w="0" w:type="dxa"/>
        <w:tblLayout w:type="autofit"/>
        <w:tblCellMar>
          <w:top w:w="0" w:type="dxa"/>
          <w:left w:w="108" w:type="dxa"/>
          <w:bottom w:w="0" w:type="dxa"/>
          <w:right w:w="108" w:type="dxa"/>
        </w:tblCellMar>
      </w:tblPr>
      <w:tblGrid>
        <w:gridCol w:w="222"/>
        <w:gridCol w:w="1144"/>
        <w:gridCol w:w="2193"/>
        <w:gridCol w:w="324"/>
        <w:gridCol w:w="1791"/>
        <w:gridCol w:w="1354"/>
        <w:gridCol w:w="1144"/>
        <w:gridCol w:w="2054"/>
        <w:gridCol w:w="1144"/>
        <w:gridCol w:w="577"/>
        <w:gridCol w:w="633"/>
        <w:gridCol w:w="476"/>
        <w:gridCol w:w="597"/>
        <w:gridCol w:w="260"/>
        <w:gridCol w:w="261"/>
      </w:tblGrid>
      <w:tr w14:paraId="1A38159E">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DEEAC4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C2980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32109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10D80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EEF5E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91CE66">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4C658F">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51DE24">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2792B8">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8BAE1">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D3792">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54B44F">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B9152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CBDA70">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5C548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074334A">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FF2AD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26921083">
            <w:pPr>
              <w:widowControl/>
              <w:jc w:val="center"/>
              <w:rPr>
                <w:rFonts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E694A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A886C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327D590">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A58F5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5A715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968D9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6756D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3276B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13FE62">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00D82D">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AD3A64">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46CD0E">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8AD34">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2EF9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AD24E3">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E6C54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46186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FE42D0">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E45184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A4837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E462B9">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69E4DC">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109002-州归国华侨联合会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8F4194">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66248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51320021T000000221084-侨联业务活动经费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7107F6">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2F0EB4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23-侨联工作/01-业务活动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439D0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A2EAC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135981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06C89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A9A57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0B3C0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FA982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BF88E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07C7E">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B6350D">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7ADEB9">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7DDD78">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D46FC">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F34AC">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938085">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6531A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3716F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E2A89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2BF1FC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79D7A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EF3ACD">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D5AA2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01A5F0">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2618BE">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4D94E1">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19A82F">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DBDCAE">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ADC5A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93E63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8AC4B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BBCB8D7">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540F6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B9B4E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6D2BE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703FDC">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65360C">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466C3F">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DFCAB2">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015648">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5729D8">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19780">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4DA9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09136A">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B38D0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2EC3F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BB4DD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E3A76E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3D5D72">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FBCAFA">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3FCD9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563134">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FC5C2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D0BBD3">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8E7F40">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8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52238E">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225840">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3A5C3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3E94F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4BAE8B8">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6281F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E270CE">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0E463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2F460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13AD4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DAD33B">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1AD508">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826DC1">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492971">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8D8F5">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43BA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04C42C">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D62D9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CE2AE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543C7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45779D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2166D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77D3FA">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6C86FE7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1.协调州委编办，争取州侨联机构、人员设置。2.开展全州归侨侨眷整理统计工作。3.筹备州侨联换届工作，力争2021年完成换届工作。5.完成上级侨联组织交办工作</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078830">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8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24CF5A">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8250B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DDD08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18D2E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6A50C41">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204BA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BD804E">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072DCE">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1FF0C8">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5A141">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9BC0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2B6D7C">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B56C47">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E04A8D">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DC48D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1A1D16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C24A4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BC943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5371F7">
            <w:pPr>
              <w:widowControl/>
              <w:jc w:val="left"/>
              <w:rPr>
                <w:rFonts w:ascii="宋体" w:hAnsi="宋体" w:eastAsia="宋体" w:cs="宋体"/>
                <w:b w:val="0"/>
                <w:color w:val="000000"/>
                <w:kern w:val="0"/>
                <w:sz w:val="20"/>
                <w:szCs w:val="20"/>
              </w:rPr>
            </w:pP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037304">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8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32733C">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4E68F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4FE0F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A7615E">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02F07DE">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5B9AF0">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D44AE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E66926">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2B854F">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5F45B">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75C98">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B8B0B4">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02ECB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39EFE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37B3B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C9A02C9">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B2472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4C4D8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7C63E6">
            <w:pPr>
              <w:widowControl/>
              <w:jc w:val="left"/>
              <w:rPr>
                <w:rFonts w:ascii="宋体" w:hAnsi="宋体" w:eastAsia="宋体" w:cs="宋体"/>
                <w:b w:val="0"/>
                <w:color w:val="000000"/>
                <w:kern w:val="0"/>
                <w:sz w:val="20"/>
                <w:szCs w:val="20"/>
              </w:rPr>
            </w:pP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459731">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8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363676">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FEE9B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6250CC">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85FD5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2654264">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64629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FFCE0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A57194">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F32948">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F194E">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C239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0FB936">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173DE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F402B2">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52B04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39096E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30B45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9911BA">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5DC78C">
            <w:pPr>
              <w:widowControl/>
              <w:jc w:val="left"/>
              <w:rPr>
                <w:rFonts w:ascii="宋体" w:hAnsi="宋体" w:eastAsia="宋体" w:cs="宋体"/>
                <w:b w:val="0"/>
                <w:color w:val="000000"/>
                <w:kern w:val="0"/>
                <w:sz w:val="20"/>
                <w:szCs w:val="20"/>
              </w:rPr>
            </w:pP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712BBD">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82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D772C0">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FCF280">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AAE66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781E2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98B9EE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6CA7D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2E362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7B4A5E">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93778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CEDC69">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8DCD98">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554935">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5C46A8">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529EF5">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62608">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4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08CD4">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873941">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34C5D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727D5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EE2CF7">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D28B32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A698ACB">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98EF6D7">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20670A5">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E051398">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ECD3848">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BBD28A7">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5DD8044">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0074180">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5766A54">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037889FE">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BC5BEAE">
            <w:pPr>
              <w:widowControl/>
              <w:jc w:val="center"/>
              <w:rPr>
                <w:rFonts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326A352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8E2EA1B">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F282BE">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6CA863">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27D6BE">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2023年12月上旬完成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11DD2F">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4EF92B">
            <w:pPr>
              <w:widowControl/>
              <w:jc w:val="righ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D551D2">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41046E">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D43E61">
            <w:pPr>
              <w:widowControl/>
              <w:jc w:val="right"/>
              <w:rPr>
                <w:rFonts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774BD6">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EB4E53">
            <w:pPr>
              <w:widowControl/>
              <w:jc w:val="left"/>
              <w:rPr>
                <w:rFonts w:ascii="宋体" w:hAnsi="宋体" w:eastAsia="宋体" w:cs="宋体"/>
                <w:b w:val="0"/>
                <w:color w:val="000000"/>
                <w:kern w:val="0"/>
                <w:sz w:val="20"/>
                <w:szCs w:val="20"/>
              </w:rPr>
            </w:pPr>
          </w:p>
        </w:tc>
      </w:tr>
      <w:tr w14:paraId="4D09BCC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538A0C">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EC746D">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97DAFD">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E32FE4F">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高效节约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887985">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5DADE7">
            <w:pPr>
              <w:widowControl/>
              <w:jc w:val="righ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B37679">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272992">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87A72B">
            <w:pPr>
              <w:widowControl/>
              <w:jc w:val="right"/>
              <w:rPr>
                <w:rFonts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CA9F07">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B68084">
            <w:pPr>
              <w:widowControl/>
              <w:jc w:val="left"/>
              <w:rPr>
                <w:rFonts w:ascii="宋体" w:hAnsi="宋体" w:eastAsia="宋体" w:cs="宋体"/>
                <w:b w:val="0"/>
                <w:color w:val="000000"/>
                <w:kern w:val="0"/>
                <w:sz w:val="20"/>
                <w:szCs w:val="20"/>
              </w:rPr>
            </w:pPr>
          </w:p>
        </w:tc>
      </w:tr>
      <w:tr w14:paraId="2EE0DC3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B0ED2B2">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2029E5">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D71CEC">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24528D">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保障工作正常开展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A85FA6">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F64081">
            <w:pPr>
              <w:widowControl/>
              <w:jc w:val="righ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395426">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41A595">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361854">
            <w:pPr>
              <w:widowControl/>
              <w:jc w:val="right"/>
              <w:rPr>
                <w:rFonts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8E3A0A">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AA1429">
            <w:pPr>
              <w:widowControl/>
              <w:jc w:val="left"/>
              <w:rPr>
                <w:rFonts w:ascii="宋体" w:hAnsi="宋体" w:eastAsia="宋体" w:cs="宋体"/>
                <w:b w:val="0"/>
                <w:color w:val="000000"/>
                <w:kern w:val="0"/>
                <w:sz w:val="20"/>
                <w:szCs w:val="20"/>
              </w:rPr>
            </w:pPr>
          </w:p>
        </w:tc>
      </w:tr>
      <w:tr w14:paraId="0BB79AB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D84E44">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632E6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0C82A2">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F9B04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维护社会稳定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0717AD">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0801C9">
            <w:pPr>
              <w:widowControl/>
              <w:jc w:val="righ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B4C159">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96DE25">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583113">
            <w:pPr>
              <w:widowControl/>
              <w:jc w:val="right"/>
              <w:rPr>
                <w:rFonts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939D36">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AEC43D">
            <w:pPr>
              <w:widowControl/>
              <w:jc w:val="left"/>
              <w:rPr>
                <w:rFonts w:ascii="宋体" w:hAnsi="宋体" w:eastAsia="宋体" w:cs="宋体"/>
                <w:b w:val="0"/>
                <w:color w:val="000000"/>
                <w:kern w:val="0"/>
                <w:sz w:val="20"/>
                <w:szCs w:val="20"/>
              </w:rPr>
            </w:pPr>
          </w:p>
        </w:tc>
      </w:tr>
      <w:tr w14:paraId="5743627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460BA8B">
            <w:pPr>
              <w:widowControl/>
              <w:jc w:val="lef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84A77B">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8B5DD1">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2A58F6">
            <w:pPr>
              <w:widowControl/>
              <w:jc w:val="lef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团结好侨胞</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2F9857">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C138CD">
            <w:pPr>
              <w:widowControl/>
              <w:jc w:val="right"/>
              <w:rPr>
                <w:rFonts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74A35C">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7C8D38">
            <w:pPr>
              <w:widowControl/>
              <w:jc w:val="center"/>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EEB990">
            <w:pPr>
              <w:widowControl/>
              <w:jc w:val="right"/>
              <w:rPr>
                <w:rFonts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0603B9">
            <w:pPr>
              <w:widowControl/>
              <w:jc w:val="right"/>
              <w:rPr>
                <w:rFonts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A62AF2">
            <w:pPr>
              <w:widowControl/>
              <w:jc w:val="left"/>
              <w:rPr>
                <w:rFonts w:ascii="宋体" w:hAnsi="宋体" w:eastAsia="宋体" w:cs="宋体"/>
                <w:b w:val="0"/>
                <w:color w:val="000000"/>
                <w:kern w:val="0"/>
                <w:sz w:val="20"/>
                <w:szCs w:val="20"/>
              </w:rPr>
            </w:pPr>
          </w:p>
        </w:tc>
      </w:tr>
    </w:tbl>
    <w:p w14:paraId="0DF9DF06">
      <w:pPr>
        <w:pStyle w:val="12"/>
        <w:spacing w:before="0" w:line="360" w:lineRule="auto"/>
        <w:ind w:firstLine="640" w:firstLineChars="200"/>
        <w:rPr>
          <w:rFonts w:ascii="Times New Roman" w:hAnsi="Times New Roman" w:eastAsia="黑体"/>
          <w:sz w:val="32"/>
          <w:szCs w:val="32"/>
        </w:rPr>
      </w:pPr>
    </w:p>
    <w:p w14:paraId="379DB353">
      <w:pPr>
        <w:pStyle w:val="12"/>
        <w:spacing w:before="0" w:line="360" w:lineRule="auto"/>
        <w:ind w:firstLine="640" w:firstLineChars="200"/>
        <w:rPr>
          <w:rFonts w:ascii="Times New Roman" w:hAnsi="Times New Roman" w:eastAsia="黑体"/>
          <w:sz w:val="32"/>
          <w:szCs w:val="32"/>
        </w:rPr>
      </w:pPr>
    </w:p>
    <w:p w14:paraId="6142AFC2">
      <w:pPr>
        <w:pStyle w:val="12"/>
        <w:spacing w:before="0" w:line="360" w:lineRule="auto"/>
        <w:ind w:firstLine="640" w:firstLineChars="200"/>
        <w:rPr>
          <w:rFonts w:ascii="Times New Roman" w:hAnsi="Times New Roman" w:eastAsia="黑体"/>
          <w:sz w:val="32"/>
          <w:szCs w:val="32"/>
        </w:rPr>
      </w:pPr>
    </w:p>
    <w:p w14:paraId="392C4BC3">
      <w:pPr>
        <w:pStyle w:val="12"/>
        <w:spacing w:before="0" w:line="360" w:lineRule="auto"/>
        <w:ind w:firstLine="640" w:firstLineChars="200"/>
        <w:rPr>
          <w:rFonts w:ascii="Times New Roman" w:hAnsi="Times New Roman" w:eastAsia="黑体"/>
          <w:sz w:val="32"/>
          <w:szCs w:val="32"/>
        </w:rPr>
      </w:pPr>
    </w:p>
    <w:p w14:paraId="7655E772">
      <w:pPr>
        <w:pStyle w:val="12"/>
        <w:spacing w:before="0" w:line="360" w:lineRule="auto"/>
        <w:ind w:firstLine="640" w:firstLineChars="200"/>
        <w:rPr>
          <w:rFonts w:ascii="Times New Roman" w:hAnsi="Times New Roman" w:eastAsia="黑体"/>
          <w:sz w:val="32"/>
          <w:szCs w:val="32"/>
        </w:rPr>
      </w:pPr>
    </w:p>
    <w:p w14:paraId="66BEFD60">
      <w:pPr>
        <w:pStyle w:val="12"/>
        <w:spacing w:before="0" w:line="360" w:lineRule="auto"/>
        <w:ind w:firstLine="640" w:firstLineChars="200"/>
        <w:rPr>
          <w:rFonts w:ascii="Times New Roman" w:hAnsi="Times New Roman" w:eastAsia="黑体"/>
          <w:sz w:val="32"/>
          <w:szCs w:val="32"/>
        </w:rPr>
      </w:pPr>
    </w:p>
    <w:p w14:paraId="29C9FD5B">
      <w:pPr>
        <w:pStyle w:val="12"/>
        <w:spacing w:before="0" w:line="360" w:lineRule="auto"/>
        <w:ind w:firstLine="640" w:firstLineChars="200"/>
        <w:rPr>
          <w:rFonts w:ascii="Times New Roman" w:hAnsi="Times New Roman" w:eastAsia="黑体"/>
          <w:sz w:val="32"/>
          <w:szCs w:val="32"/>
        </w:rPr>
      </w:pPr>
    </w:p>
    <w:p w14:paraId="3A6CEC93">
      <w:pPr>
        <w:pStyle w:val="12"/>
        <w:spacing w:before="0" w:line="360" w:lineRule="auto"/>
        <w:ind w:firstLine="640" w:firstLineChars="200"/>
        <w:rPr>
          <w:rFonts w:ascii="Times New Roman" w:hAnsi="Times New Roman" w:eastAsia="黑体"/>
          <w:sz w:val="32"/>
          <w:szCs w:val="32"/>
        </w:rPr>
      </w:pPr>
    </w:p>
    <w:p w14:paraId="1ED0309F">
      <w:pPr>
        <w:pStyle w:val="12"/>
        <w:spacing w:before="0" w:line="360" w:lineRule="auto"/>
        <w:ind w:firstLine="640" w:firstLineChars="200"/>
        <w:rPr>
          <w:rFonts w:ascii="Times New Roman" w:hAnsi="Times New Roman" w:eastAsia="黑体"/>
          <w:sz w:val="32"/>
          <w:szCs w:val="32"/>
        </w:rPr>
        <w:sectPr>
          <w:footerReference r:id="rId6" w:type="default"/>
          <w:pgSz w:w="16838" w:h="11906" w:orient="landscape"/>
          <w:pgMar w:top="1803" w:right="1440" w:bottom="1803" w:left="1440" w:header="851" w:footer="992" w:gutter="0"/>
          <w:pgNumType w:fmt="decimal" w:start="8"/>
          <w:cols w:space="0" w:num="1"/>
          <w:rtlGutter w:val="0"/>
          <w:docGrid w:type="lines" w:linePitch="319" w:charSpace="0"/>
        </w:sectPr>
      </w:pPr>
    </w:p>
    <w:p w14:paraId="329A4B56">
      <w:pPr>
        <w:pStyle w:val="12"/>
        <w:spacing w:before="0" w:line="360" w:lineRule="auto"/>
        <w:ind w:firstLine="640" w:firstLineChars="200"/>
        <w:rPr>
          <w:rFonts w:hint="eastAsia" w:ascii="Times New Roman" w:hAnsi="Times New Roman" w:eastAsia="黑体"/>
          <w:sz w:val="32"/>
          <w:szCs w:val="32"/>
          <w:lang w:eastAsia="zh-CN"/>
        </w:rPr>
      </w:pPr>
      <w:r>
        <w:rPr>
          <w:rFonts w:ascii="Times New Roman" w:hAnsi="Times New Roman" w:eastAsia="黑体"/>
          <w:sz w:val="32"/>
          <w:szCs w:val="32"/>
        </w:rPr>
        <w:t>十</w:t>
      </w:r>
      <w:r>
        <w:rPr>
          <w:rFonts w:hint="eastAsia" w:ascii="Times New Roman" w:hAnsi="Times New Roman" w:eastAsia="黑体"/>
          <w:sz w:val="32"/>
          <w:szCs w:val="32"/>
          <w:lang w:val="en-US" w:eastAsia="zh-CN"/>
        </w:rPr>
        <w:t>一</w:t>
      </w:r>
      <w:r>
        <w:rPr>
          <w:rFonts w:ascii="Times New Roman" w:hAnsi="Times New Roman" w:eastAsia="黑体"/>
          <w:sz w:val="32"/>
          <w:szCs w:val="32"/>
        </w:rPr>
        <w:t xml:space="preserve">、名称解释 </w:t>
      </w:r>
    </w:p>
    <w:p w14:paraId="640FADAF">
      <w:pPr>
        <w:pStyle w:val="12"/>
        <w:spacing w:before="0" w:line="360" w:lineRule="auto"/>
        <w:ind w:firstLine="320" w:firstLineChars="200"/>
        <w:rPr>
          <w:rFonts w:hint="eastAsia" w:ascii="Times New Roman" w:hAnsi="Times New Roman" w:eastAsia="方正仿宋_GBK" w:cs="Times New Roman"/>
          <w:color w:val="000000"/>
          <w:kern w:val="2"/>
          <w:sz w:val="32"/>
          <w:szCs w:val="32"/>
          <w:lang w:val="en-US" w:eastAsia="zh-CN" w:bidi="ar"/>
        </w:rPr>
      </w:pPr>
      <w:r>
        <w:rPr>
          <w:rFonts w:ascii="Times New Roman" w:hAnsi="Times New Roman" w:eastAsia="宋体"/>
          <w:sz w:val="16"/>
        </w:rPr>
        <w:t>　　</w:t>
      </w:r>
      <w:r>
        <w:rPr>
          <w:rFonts w:hint="eastAsia" w:ascii="Times New Roman" w:hAnsi="Times New Roman" w:eastAsia="方正仿宋_GBK" w:cs="Times New Roman"/>
          <w:color w:val="000000"/>
          <w:kern w:val="2"/>
          <w:sz w:val="32"/>
          <w:szCs w:val="32"/>
          <w:lang w:val="en-US" w:eastAsia="zh-CN" w:bidi="ar"/>
        </w:rPr>
        <w:t>（一）财政拨款收入：指由财政拨款形成的部门收入。按现行管理制度，部门预算中反映的财政拨款仅包括一般公共预算拨款和政府性基金预算拨款。</w:t>
      </w:r>
    </w:p>
    <w:p w14:paraId="50AF31BA">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（二）事业收入：指所属事业单位开展专业业务活动及辅助活动所取得的收入。</w:t>
      </w:r>
    </w:p>
    <w:p w14:paraId="4640B55A">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（三）事业单位经营收入：指所属事业单位在专业业务活动及其辅助活动之外开展非独立核算经营活动取得的收入。</w:t>
      </w:r>
    </w:p>
    <w:p w14:paraId="7BF9E72C">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（四）其他收入：指除上述“财政拨款收入”、“事业收入”、“事业单位经营收入”等以外的收入，主要是所属行政事业单位按规定动用的售房收入、存款利息收入等。</w:t>
      </w:r>
    </w:p>
    <w:p w14:paraId="0E248308">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　（五）用事业基金弥补收支差额：指所属事业单位在预计用当年的“财政拨款收入”、“事业收入”、“事业单位经营收入”、“其他收入”不足以安排当年支出的情况下，使用以前年度积累的事业基金弥补本年度收支缺口的资金。</w:t>
      </w:r>
    </w:p>
    <w:p w14:paraId="15B20C44">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（六）上年结转：指所属行政事业单位以前年度尚未完成、结转至本年按原规定用途继续使用的资金和以前年度已完成项目剩余资金经批准用于新用途使用的资金。</w:t>
      </w:r>
    </w:p>
    <w:p w14:paraId="3F937CD1">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七）“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449ECB7">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p>
    <w:p w14:paraId="4734882B">
      <w:pPr>
        <w:pStyle w:val="12"/>
        <w:spacing w:before="0" w:line="360" w:lineRule="auto"/>
        <w:ind w:firstLine="640" w:firstLineChars="200"/>
        <w:rPr>
          <w:rFonts w:hint="eastAsia" w:ascii="Times New Roman" w:hAnsi="Times New Roman" w:eastAsia="方正仿宋_GBK" w:cs="Times New Roman"/>
          <w:color w:val="000000"/>
          <w:kern w:val="2"/>
          <w:sz w:val="32"/>
          <w:szCs w:val="32"/>
          <w:lang w:val="en-US" w:eastAsia="zh-CN" w:bidi="ar"/>
        </w:rPr>
      </w:pPr>
    </w:p>
    <w:sectPr>
      <w:footerReference r:id="rId7" w:type="default"/>
      <w:pgSz w:w="11906" w:h="16838"/>
      <w:pgMar w:top="1440" w:right="1803" w:bottom="1440" w:left="1803" w:header="851" w:footer="992" w:gutter="0"/>
      <w:pgNumType w:fmt="decimal" w:start="1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304F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EF3F">
    <w:pPr>
      <w:pStyle w:val="5"/>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445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miter/>
                      </a:ln>
                    </wps:spPr>
                    <wps:txbx>
                      <w:txbxContent>
                        <w:p w14:paraId="16A77CF5">
                          <w:pPr>
                            <w:pStyle w:val="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center;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Cp5II8AwIAAPQDAAAOAAAAAAAAAAEAIAAAACABAABkcnMvZTJv&#10;RG9jLnhtbFBLBQYAAAAABgAGAFkBAACVBQAAAAA=&#10;">
              <v:fill on="f" focussize="0,0"/>
              <v:stroke on="f" joinstyle="miter"/>
              <v:imagedata o:title=""/>
              <o:lock v:ext="edit" aspectratio="f"/>
              <v:textbox inset="0mm,0mm,0mm,0mm" style="mso-fit-shape-to-text:t;">
                <w:txbxContent>
                  <w:p w14:paraId="16A77CF5">
                    <w:pPr>
                      <w:pStyle w:val="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58CCC">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F599F0">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38F599F0">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mc:AlternateContent>
        <mc:Choice Requires="wps">
          <w:drawing>
            <wp:anchor distT="0" distB="0" distL="113665" distR="113665" simplePos="0" relativeHeight="251660288" behindDoc="0" locked="0" layoutInCell="1" allowOverlap="1">
              <wp:simplePos x="0" y="0"/>
              <wp:positionH relativeFrom="margin">
                <wp:align>center</wp:align>
              </wp:positionH>
              <wp:positionV relativeFrom="paragraph">
                <wp:posOffset>0</wp:posOffset>
              </wp:positionV>
              <wp:extent cx="444500" cy="230505"/>
              <wp:effectExtent l="0" t="0" r="0" b="0"/>
              <wp:wrapNone/>
              <wp:docPr id="2" name="文本框 3"/>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miter/>
                      </a:ln>
                    </wps:spPr>
                    <wps:txbx>
                      <w:txbxContent>
                        <w:p w14:paraId="7DD00024">
                          <w:pPr>
                            <w:pStyle w:val="5"/>
                            <w:rPr>
                              <w:rFonts w:ascii="仿宋_GB2312" w:eastAsia="仿宋_GB2312" w:cs="仿宋_GB2312"/>
                              <w:sz w:val="28"/>
                              <w:szCs w:val="28"/>
                            </w:rPr>
                          </w:pP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center;mso-position-horizontal-relative:margin;mso-wrap-style:none;z-index:251660288;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AwVi6qAwIAAPQDAAAOAAAAAAAAAAEAIAAAACABAABkcnMvZTJv&#10;RG9jLnhtbFBLBQYAAAAABgAGAFkBAACVBQAAAAA=&#10;">
              <v:fill on="f" focussize="0,0"/>
              <v:stroke on="f" joinstyle="miter"/>
              <v:imagedata o:title=""/>
              <o:lock v:ext="edit" aspectratio="f"/>
              <v:textbox inset="0mm,0mm,0mm,0mm" style="mso-fit-shape-to-text:t;">
                <w:txbxContent>
                  <w:p w14:paraId="7DD00024">
                    <w:pPr>
                      <w:pStyle w:val="5"/>
                      <w:rPr>
                        <w:rFonts w:ascii="仿宋_GB2312" w:eastAsia="仿宋_GB2312" w:cs="仿宋_GB2312"/>
                        <w:sz w:val="28"/>
                        <w:szCs w:val="28"/>
                      </w:rPr>
                    </w:pP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96132">
    <w:pPr>
      <w:pStyle w:val="5"/>
    </w:pPr>
    <w:r>
      <mc:AlternateContent>
        <mc:Choice Requires="wps">
          <w:drawing>
            <wp:anchor distT="0" distB="0" distL="113665" distR="113665" simplePos="0" relativeHeight="251661312" behindDoc="0" locked="0" layoutInCell="1" allowOverlap="1">
              <wp:simplePos x="0" y="0"/>
              <wp:positionH relativeFrom="margin">
                <wp:align>center</wp:align>
              </wp:positionH>
              <wp:positionV relativeFrom="paragraph">
                <wp:posOffset>0</wp:posOffset>
              </wp:positionV>
              <wp:extent cx="444500" cy="230505"/>
              <wp:effectExtent l="0" t="0" r="0" b="0"/>
              <wp:wrapNone/>
              <wp:docPr id="3" name="文本框 3"/>
              <wp:cNvGraphicFramePr/>
              <a:graphic xmlns:a="http://schemas.openxmlformats.org/drawingml/2006/main">
                <a:graphicData uri="http://schemas.microsoft.com/office/word/2010/wordprocessingShape">
                  <wps:wsp>
                    <wps:cNvSpPr/>
                    <wps:spPr>
                      <a:xfrm>
                        <a:off x="0" y="0"/>
                        <a:ext cx="444499" cy="230251"/>
                      </a:xfrm>
                      <a:prstGeom prst="rect">
                        <a:avLst/>
                      </a:prstGeom>
                      <a:noFill/>
                      <a:ln w="9525" cap="flat" cmpd="sng">
                        <a:noFill/>
                        <a:prstDash val="solid"/>
                        <a:miter/>
                      </a:ln>
                    </wps:spPr>
                    <wps:txbx>
                      <w:txbxContent>
                        <w:p w14:paraId="115AE5F0">
                          <w:pPr>
                            <w:pStyle w:val="5"/>
                            <w:rPr>
                              <w:rFonts w:ascii="仿宋_GB2312" w:eastAsia="仿宋_GB2312" w:cs="仿宋_GB2312"/>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r>
                            <w:rPr>
                              <w:rFonts w:ascii="仿宋_GB2312" w:eastAsia="仿宋_GB2312" w:cs="仿宋_GB2312"/>
                              <w:sz w:val="28"/>
                              <w:szCs w:val="28"/>
                            </w:rPr>
                            <w:t>—</w:t>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center;mso-position-horizontal-relative:margin;mso-wrap-style:none;z-index:251661312;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BHOErYAwIAAPQDAAAOAAAAAAAAAAEAIAAAACABAABkcnMvZTJv&#10;RG9jLnhtbFBLBQYAAAAABgAGAFkBAACVBQAAAAA=&#10;">
              <v:fill on="f" focussize="0,0"/>
              <v:stroke on="f" joinstyle="miter"/>
              <v:imagedata o:title=""/>
              <o:lock v:ext="edit" aspectratio="f"/>
              <v:textbox inset="0mm,0mm,0mm,0mm" style="mso-fit-shape-to-text:t;">
                <w:txbxContent>
                  <w:p w14:paraId="115AE5F0">
                    <w:pPr>
                      <w:pStyle w:val="5"/>
                      <w:rPr>
                        <w:rFonts w:ascii="仿宋_GB2312" w:eastAsia="仿宋_GB2312" w:cs="仿宋_GB2312"/>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r>
                      <w:rPr>
                        <w:rFonts w:ascii="仿宋_GB2312" w:eastAsia="仿宋_GB2312" w:cs="仿宋_GB2312"/>
                        <w:sz w:val="28"/>
                        <w:szCs w:val="28"/>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DA958">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9"/>
  <w:displayHorizontalDrawingGridEvery w:val="0"/>
  <w:displayVerticalDrawingGridEvery w:val="2"/>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 w:name="KSO_WPS_MARK_KEY" w:val="892b4a0f-d3e8-45a3-ae0a-3c1b8e4cb5f8"/>
  </w:docVars>
  <w:rsids>
    <w:rsidRoot w:val="00000000"/>
    <w:rsid w:val="084E1401"/>
    <w:rsid w:val="08FA17F2"/>
    <w:rsid w:val="14FD094C"/>
    <w:rsid w:val="21D06385"/>
    <w:rsid w:val="2FD45DE0"/>
    <w:rsid w:val="34717B19"/>
    <w:rsid w:val="420E4F05"/>
    <w:rsid w:val="45101210"/>
    <w:rsid w:val="4DD92AE7"/>
    <w:rsid w:val="4FD01CC8"/>
    <w:rsid w:val="62AE40EB"/>
    <w:rsid w:val="69D64E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rPr>
  </w:style>
  <w:style w:type="character" w:styleId="10">
    <w:name w:val="Strong"/>
    <w:basedOn w:val="9"/>
    <w:qFormat/>
    <w:uiPriority w:val="0"/>
    <w:rPr>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character" w:customStyle="1" w:styleId="13">
    <w:name w:val="font11"/>
    <w:basedOn w:val="9"/>
    <w:qFormat/>
    <w:uiPriority w:val="0"/>
    <w:rPr>
      <w:rFonts w:asci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3833</Words>
  <Characters>5179</Characters>
  <Lines>202</Lines>
  <Paragraphs>75</Paragraphs>
  <TotalTime>4</TotalTime>
  <ScaleCrop>false</ScaleCrop>
  <LinksUpToDate>false</LinksUpToDate>
  <CharactersWithSpaces>5356</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2023-01-10T10:35:00Z</dcterms:created>
  <dc:creator>疯丫头。。</dc:creator>
  <cp:lastModifiedBy>幽然</cp:lastModifiedBy>
  <cp:lastPrinted>2024-08-15T13:16:00Z</cp:lastPrinted>
  <dcterms:modified xsi:type="dcterms:W3CDTF">2024-08-16T01:19:22Z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48A41BDBF1104CC39B1881602A89AF52_13</vt:lpwstr>
  </property>
</Properties>
</file>