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7425"/>
      <w:bookmarkStart w:id="1" w:name="_Toc15396475"/>
      <w:bookmarkStart w:id="2" w:name="_Toc15378441"/>
      <w:bookmarkStart w:id="3" w:name="_Toc15377193"/>
      <w:bookmarkStart w:id="4" w:name="_Toc15396597"/>
      <w:bookmarkStart w:id="5" w:name="_Toc15306267"/>
    </w:p>
    <w:p>
      <w:pPr>
        <w:pStyle w:val="2"/>
      </w:pPr>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14922"/>
      <w:bookmarkStart w:id="7" w:name="_Toc16299"/>
      <w:r>
        <w:rPr>
          <w:rFonts w:hint="eastAsia" w:ascii="方正小标宋简体" w:eastAsia="方正小标宋简体" w:cs="方正小标宋简体"/>
          <w:sz w:val="72"/>
          <w:szCs w:val="72"/>
        </w:rPr>
        <w:t>2021年度</w:t>
      </w:r>
      <w:bookmarkEnd w:id="0"/>
      <w:bookmarkEnd w:id="1"/>
      <w:bookmarkEnd w:id="2"/>
      <w:bookmarkEnd w:id="3"/>
      <w:bookmarkEnd w:id="4"/>
      <w:bookmarkEnd w:id="6"/>
      <w:bookmarkEnd w:id="7"/>
    </w:p>
    <w:p>
      <w:pPr>
        <w:adjustRightInd w:val="0"/>
        <w:snapToGrid w:val="0"/>
        <w:spacing w:line="360" w:lineRule="auto"/>
        <w:jc w:val="center"/>
        <w:outlineLvl w:val="0"/>
        <w:rPr>
          <w:rFonts w:hint="eastAsia" w:ascii="方正小标宋简体" w:eastAsia="方正小标宋简体" w:cs="方正小标宋简体"/>
          <w:sz w:val="72"/>
          <w:szCs w:val="72"/>
          <w:lang w:eastAsia="zh-CN"/>
        </w:rPr>
      </w:pPr>
      <w:bookmarkStart w:id="8" w:name="_Toc15396476"/>
      <w:bookmarkStart w:id="9" w:name="_Toc15377194"/>
      <w:bookmarkStart w:id="10" w:name="_Toc15396598"/>
      <w:bookmarkStart w:id="11" w:name="_Toc2049"/>
      <w:bookmarkStart w:id="12" w:name="_Toc15378442"/>
      <w:bookmarkStart w:id="13" w:name="_Toc15377426"/>
      <w:bookmarkStart w:id="14" w:name="_Toc32432"/>
      <w:r>
        <w:rPr>
          <w:rFonts w:ascii="方正小标宋简体" w:eastAsia="方正小标宋简体" w:cs="方正小标宋简体"/>
          <w:sz w:val="72"/>
          <w:szCs w:val="72"/>
        </w:rPr>
        <w:t>阿坝州</w:t>
      </w:r>
      <w:bookmarkEnd w:id="5"/>
      <w:bookmarkStart w:id="15" w:name="_Toc15306268"/>
      <w:r>
        <w:rPr>
          <w:rFonts w:hint="eastAsia" w:ascii="方正小标宋简体" w:eastAsia="方正小标宋简体" w:cs="方正小标宋简体"/>
          <w:sz w:val="72"/>
          <w:szCs w:val="72"/>
          <w:lang w:eastAsia="zh-CN"/>
        </w:rPr>
        <w:t>新华书店单位</w:t>
      </w:r>
      <w:r>
        <w:rPr>
          <w:rFonts w:hint="eastAsia" w:ascii="方正小标宋简体" w:eastAsia="方正小标宋简体" w:cs="方正小标宋简体"/>
          <w:sz w:val="72"/>
          <w:szCs w:val="72"/>
        </w:rPr>
        <w:t>决算</w:t>
      </w:r>
      <w:bookmarkEnd w:id="8"/>
      <w:bookmarkEnd w:id="9"/>
      <w:bookmarkEnd w:id="10"/>
      <w:bookmarkEnd w:id="11"/>
      <w:bookmarkEnd w:id="12"/>
      <w:bookmarkEnd w:id="13"/>
      <w:bookmarkEnd w:id="14"/>
      <w:bookmarkEnd w:id="15"/>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widowControl/>
        <w:jc w:val="center"/>
        <w:rPr>
          <w:rFonts w:ascii="黑体" w:eastAsia="黑体" w:cs="Arial"/>
          <w:sz w:val="28"/>
          <w:szCs w:val="2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r>
      <w:r>
        <w:rPr>
          <w:rFonts w:hint="eastAsia" w:ascii="黑体" w:eastAsia="黑体"/>
          <w:sz w:val="48"/>
          <w:szCs w:val="48"/>
        </w:rPr>
        <w:t>目录</w:t>
      </w:r>
    </w:p>
    <w:p>
      <w:pPr>
        <w:pStyle w:val="10"/>
      </w:pPr>
      <w:r>
        <w:rPr>
          <w:rFonts w:hint="eastAsia"/>
        </w:rPr>
        <w:t>公开时间：2022年</w:t>
      </w:r>
      <w:r>
        <w:t>9</w:t>
      </w:r>
      <w:r>
        <w:rPr>
          <w:rFonts w:hint="eastAsia"/>
        </w:rPr>
        <w:t>月29日</w:t>
      </w:r>
    </w:p>
    <w:p/>
    <w:sdt>
      <w:sdtPr>
        <w:rPr>
          <w:rFonts w:ascii="宋体" w:hAnsi="宋体" w:eastAsia="宋体" w:cs="Times New Roman"/>
          <w:kern w:val="2"/>
          <w:sz w:val="21"/>
          <w:szCs w:val="24"/>
          <w:lang w:val="en-US" w:eastAsia="zh-CN" w:bidi="ar-SA"/>
        </w:rPr>
        <w:id w:val="147469702"/>
        <w15:color w:val="DBDBDB"/>
        <w:docPartObj>
          <w:docPartGallery w:val="Table of Contents"/>
          <w:docPartUnique/>
        </w:docPartObj>
      </w:sdtPr>
      <w:sdtEndPr>
        <w:rPr>
          <w:rFonts w:ascii="宋体" w:hAnsi="宋体" w:eastAsia="宋体" w:cs="Times New Roman"/>
          <w:b/>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26"/>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_Toc32398 </w:instrText>
          </w:r>
          <w:r>
            <w:rPr>
              <w:b/>
            </w:rPr>
            <w:fldChar w:fldCharType="separate"/>
          </w:r>
          <w:r>
            <w:rPr>
              <w:rFonts w:hint="eastAsia" w:ascii="黑体" w:eastAsia="黑体"/>
              <w:b/>
            </w:rPr>
            <w:t xml:space="preserve">第一部分 </w:t>
          </w:r>
          <w:r>
            <w:rPr>
              <w:rFonts w:hint="eastAsia" w:ascii="黑体" w:eastAsia="黑体"/>
              <w:b/>
              <w:lang w:eastAsia="zh-CN"/>
            </w:rPr>
            <w:t>单位</w:t>
          </w:r>
          <w:r>
            <w:rPr>
              <w:rFonts w:hint="eastAsia" w:ascii="黑体" w:eastAsia="黑体"/>
              <w:b/>
              <w:bCs w:val="0"/>
            </w:rPr>
            <w:t>概况</w:t>
          </w:r>
          <w:r>
            <w:rPr>
              <w:b/>
            </w:rPr>
            <w:tab/>
          </w:r>
          <w:r>
            <w:rPr>
              <w:b/>
            </w:rPr>
            <w:fldChar w:fldCharType="begin"/>
          </w:r>
          <w:r>
            <w:rPr>
              <w:b/>
            </w:rPr>
            <w:instrText xml:space="preserve"> PAGEREF _Toc32398 \h </w:instrText>
          </w:r>
          <w:r>
            <w:rPr>
              <w:b/>
            </w:rPr>
            <w:fldChar w:fldCharType="separate"/>
          </w:r>
          <w:r>
            <w:rPr>
              <w:b/>
            </w:rPr>
            <w:t>4</w:t>
          </w:r>
          <w:r>
            <w:rPr>
              <w:b/>
            </w:rPr>
            <w:fldChar w:fldCharType="end"/>
          </w:r>
          <w:r>
            <w:rPr>
              <w:b/>
            </w:rPr>
            <w:fldChar w:fldCharType="end"/>
          </w:r>
        </w:p>
        <w:p>
          <w:pPr>
            <w:pStyle w:val="27"/>
            <w:tabs>
              <w:tab w:val="right" w:leader="dot" w:pos="8306"/>
            </w:tabs>
          </w:pPr>
          <w:r>
            <w:fldChar w:fldCharType="begin"/>
          </w:r>
          <w:r>
            <w:instrText xml:space="preserve"> HYPERLINK \l _Toc30078 </w:instrText>
          </w:r>
          <w:r>
            <w:fldChar w:fldCharType="separate"/>
          </w:r>
          <w:r>
            <w:rPr>
              <w:rFonts w:hint="eastAsia" w:ascii="黑体" w:eastAsia="黑体"/>
            </w:rPr>
            <w:t>一、</w:t>
          </w:r>
          <w:r>
            <w:rPr>
              <w:rFonts w:hint="eastAsia" w:ascii="黑体" w:eastAsia="黑体"/>
              <w:bCs w:val="0"/>
            </w:rPr>
            <w:t>职能简介</w:t>
          </w:r>
          <w:r>
            <w:tab/>
          </w:r>
          <w:r>
            <w:fldChar w:fldCharType="begin"/>
          </w:r>
          <w:r>
            <w:instrText xml:space="preserve"> PAGEREF _Toc30078 \h </w:instrText>
          </w:r>
          <w:r>
            <w:fldChar w:fldCharType="separate"/>
          </w:r>
          <w:r>
            <w:t>4</w:t>
          </w:r>
          <w:r>
            <w:fldChar w:fldCharType="end"/>
          </w:r>
          <w:r>
            <w:fldChar w:fldCharType="end"/>
          </w:r>
        </w:p>
        <w:p>
          <w:pPr>
            <w:pStyle w:val="27"/>
            <w:tabs>
              <w:tab w:val="right" w:leader="dot" w:pos="8306"/>
            </w:tabs>
          </w:pPr>
          <w:r>
            <w:fldChar w:fldCharType="begin"/>
          </w:r>
          <w:r>
            <w:instrText xml:space="preserve"> HYPERLINK \l _Toc21463 </w:instrText>
          </w:r>
          <w:r>
            <w:fldChar w:fldCharType="separate"/>
          </w:r>
          <w:r>
            <w:rPr>
              <w:rFonts w:hint="eastAsia" w:ascii="黑体" w:eastAsia="黑体"/>
            </w:rPr>
            <w:t>二、2021年重点工作完成情况</w:t>
          </w:r>
          <w:r>
            <w:tab/>
          </w:r>
          <w:r>
            <w:fldChar w:fldCharType="begin"/>
          </w:r>
          <w:r>
            <w:instrText xml:space="preserve"> PAGEREF _Toc21463 \h </w:instrText>
          </w:r>
          <w:r>
            <w:fldChar w:fldCharType="separate"/>
          </w:r>
          <w:r>
            <w:t>4</w:t>
          </w:r>
          <w:r>
            <w:fldChar w:fldCharType="end"/>
          </w:r>
          <w:r>
            <w:fldChar w:fldCharType="end"/>
          </w:r>
        </w:p>
        <w:p>
          <w:pPr>
            <w:pStyle w:val="26"/>
            <w:tabs>
              <w:tab w:val="right" w:leader="dot" w:pos="8306"/>
            </w:tabs>
            <w:rPr>
              <w:b/>
            </w:rPr>
          </w:pPr>
          <w:r>
            <w:rPr>
              <w:b/>
            </w:rPr>
            <w:fldChar w:fldCharType="begin"/>
          </w:r>
          <w:r>
            <w:rPr>
              <w:b/>
            </w:rPr>
            <w:instrText xml:space="preserve"> HYPERLINK \l _Toc13956 </w:instrText>
          </w:r>
          <w:r>
            <w:rPr>
              <w:b/>
            </w:rPr>
            <w:fldChar w:fldCharType="separate"/>
          </w:r>
          <w:r>
            <w:rPr>
              <w:rFonts w:hint="eastAsia" w:ascii="黑体" w:eastAsia="黑体"/>
              <w:b/>
            </w:rPr>
            <w:t>第二部分 2021年度</w:t>
          </w:r>
          <w:r>
            <w:rPr>
              <w:rFonts w:hint="eastAsia" w:ascii="黑体" w:eastAsia="黑体"/>
              <w:b/>
              <w:bCs/>
            </w:rPr>
            <w:t>单位决算情况说明</w:t>
          </w:r>
          <w:r>
            <w:rPr>
              <w:b/>
            </w:rPr>
            <w:tab/>
          </w:r>
          <w:r>
            <w:rPr>
              <w:b/>
            </w:rPr>
            <w:fldChar w:fldCharType="begin"/>
          </w:r>
          <w:r>
            <w:rPr>
              <w:b/>
            </w:rPr>
            <w:instrText xml:space="preserve"> PAGEREF _Toc13956 \h </w:instrText>
          </w:r>
          <w:r>
            <w:rPr>
              <w:b/>
            </w:rPr>
            <w:fldChar w:fldCharType="separate"/>
          </w:r>
          <w:r>
            <w:rPr>
              <w:b/>
            </w:rPr>
            <w:t>6</w:t>
          </w:r>
          <w:r>
            <w:rPr>
              <w:b/>
            </w:rPr>
            <w:fldChar w:fldCharType="end"/>
          </w:r>
          <w:r>
            <w:rPr>
              <w:b/>
            </w:rPr>
            <w:fldChar w:fldCharType="end"/>
          </w:r>
        </w:p>
        <w:p>
          <w:pPr>
            <w:pStyle w:val="27"/>
            <w:tabs>
              <w:tab w:val="right" w:leader="dot" w:pos="8306"/>
            </w:tabs>
          </w:pPr>
          <w:r>
            <w:fldChar w:fldCharType="begin"/>
          </w:r>
          <w:r>
            <w:instrText xml:space="preserve"> HYPERLINK \l _Toc32709 </w:instrText>
          </w:r>
          <w: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_Toc32709 \h </w:instrText>
          </w:r>
          <w:r>
            <w:fldChar w:fldCharType="separate"/>
          </w:r>
          <w:r>
            <w:t>6</w:t>
          </w:r>
          <w:r>
            <w:fldChar w:fldCharType="end"/>
          </w:r>
          <w:r>
            <w:fldChar w:fldCharType="end"/>
          </w:r>
        </w:p>
        <w:p>
          <w:pPr>
            <w:pStyle w:val="27"/>
            <w:tabs>
              <w:tab w:val="right" w:leader="dot" w:pos="8306"/>
            </w:tabs>
          </w:pPr>
          <w:r>
            <w:fldChar w:fldCharType="begin"/>
          </w:r>
          <w:r>
            <w:instrText xml:space="preserve"> HYPERLINK \l _Toc20696 </w:instrText>
          </w:r>
          <w:r>
            <w:fldChar w:fldCharType="separate"/>
          </w:r>
          <w:r>
            <w:rPr>
              <w:rFonts w:hint="default" w:ascii="黑体" w:eastAsia="黑体"/>
            </w:rPr>
            <w:t xml:space="preserve">二、 </w:t>
          </w:r>
          <w:r>
            <w:rPr>
              <w:rFonts w:hint="eastAsia" w:ascii="黑体" w:eastAsia="黑体"/>
              <w:szCs w:val="32"/>
            </w:rPr>
            <w:t>收</w:t>
          </w:r>
          <w:r>
            <w:rPr>
              <w:rFonts w:hint="eastAsia" w:ascii="黑体" w:eastAsia="黑体"/>
            </w:rPr>
            <w:t>入决算情况说明</w:t>
          </w:r>
          <w:r>
            <w:tab/>
          </w:r>
          <w:r>
            <w:fldChar w:fldCharType="begin"/>
          </w:r>
          <w:r>
            <w:instrText xml:space="preserve"> PAGEREF _Toc20696 \h </w:instrText>
          </w:r>
          <w:r>
            <w:fldChar w:fldCharType="separate"/>
          </w:r>
          <w:r>
            <w:t>6</w:t>
          </w:r>
          <w:r>
            <w:fldChar w:fldCharType="end"/>
          </w:r>
          <w:r>
            <w:fldChar w:fldCharType="end"/>
          </w:r>
        </w:p>
        <w:p>
          <w:pPr>
            <w:pStyle w:val="27"/>
            <w:tabs>
              <w:tab w:val="right" w:leader="dot" w:pos="8306"/>
            </w:tabs>
          </w:pPr>
          <w:r>
            <w:fldChar w:fldCharType="begin"/>
          </w:r>
          <w:r>
            <w:instrText xml:space="preserve"> HYPERLINK \l _Toc31768 </w:instrText>
          </w:r>
          <w:r>
            <w:fldChar w:fldCharType="separate"/>
          </w:r>
          <w:r>
            <w:rPr>
              <w:rFonts w:hint="default" w:ascii="黑体" w:eastAsia="黑体"/>
            </w:rPr>
            <w:t xml:space="preserve">三、 </w:t>
          </w:r>
          <w:r>
            <w:rPr>
              <w:rFonts w:hint="eastAsia" w:ascii="黑体" w:eastAsia="黑体"/>
              <w:szCs w:val="32"/>
            </w:rPr>
            <w:t>支</w:t>
          </w:r>
          <w:r>
            <w:rPr>
              <w:rFonts w:hint="eastAsia" w:ascii="黑体" w:eastAsia="黑体"/>
            </w:rPr>
            <w:t>出决算情况说明</w:t>
          </w:r>
          <w:r>
            <w:tab/>
          </w:r>
          <w:r>
            <w:fldChar w:fldCharType="begin"/>
          </w:r>
          <w:r>
            <w:instrText xml:space="preserve"> PAGEREF _Toc31768 \h </w:instrText>
          </w:r>
          <w:r>
            <w:fldChar w:fldCharType="separate"/>
          </w:r>
          <w:r>
            <w:t>7</w:t>
          </w:r>
          <w:r>
            <w:fldChar w:fldCharType="end"/>
          </w:r>
          <w:r>
            <w:fldChar w:fldCharType="end"/>
          </w:r>
        </w:p>
        <w:p>
          <w:pPr>
            <w:pStyle w:val="27"/>
            <w:tabs>
              <w:tab w:val="right" w:leader="dot" w:pos="8306"/>
            </w:tabs>
          </w:pPr>
          <w:r>
            <w:fldChar w:fldCharType="begin"/>
          </w:r>
          <w:r>
            <w:instrText xml:space="preserve"> HYPERLINK \l _Toc22879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_Toc22879 \h </w:instrText>
          </w:r>
          <w:r>
            <w:fldChar w:fldCharType="separate"/>
          </w:r>
          <w:r>
            <w:t>7</w:t>
          </w:r>
          <w:r>
            <w:fldChar w:fldCharType="end"/>
          </w:r>
          <w:r>
            <w:fldChar w:fldCharType="end"/>
          </w:r>
        </w:p>
        <w:p>
          <w:pPr>
            <w:pStyle w:val="27"/>
            <w:tabs>
              <w:tab w:val="right" w:leader="dot" w:pos="8306"/>
            </w:tabs>
          </w:pPr>
          <w:r>
            <w:fldChar w:fldCharType="begin"/>
          </w:r>
          <w:r>
            <w:instrText xml:space="preserve"> HYPERLINK \l _Toc26575 </w:instrText>
          </w:r>
          <w: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_Toc26575 \h </w:instrText>
          </w:r>
          <w:r>
            <w:fldChar w:fldCharType="separate"/>
          </w:r>
          <w:r>
            <w:t>8</w:t>
          </w:r>
          <w:r>
            <w:fldChar w:fldCharType="end"/>
          </w:r>
          <w:r>
            <w:fldChar w:fldCharType="end"/>
          </w:r>
        </w:p>
        <w:p>
          <w:pPr>
            <w:pStyle w:val="27"/>
            <w:tabs>
              <w:tab w:val="right" w:leader="dot" w:pos="8306"/>
            </w:tabs>
          </w:pPr>
          <w:r>
            <w:fldChar w:fldCharType="begin"/>
          </w:r>
          <w:r>
            <w:instrText xml:space="preserve"> HYPERLINK \l _Toc32216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_Toc32216 \h </w:instrText>
          </w:r>
          <w:r>
            <w:fldChar w:fldCharType="separate"/>
          </w:r>
          <w:r>
            <w:t>10</w:t>
          </w:r>
          <w:r>
            <w:fldChar w:fldCharType="end"/>
          </w:r>
          <w:r>
            <w:fldChar w:fldCharType="end"/>
          </w:r>
        </w:p>
        <w:p>
          <w:pPr>
            <w:pStyle w:val="27"/>
            <w:tabs>
              <w:tab w:val="right" w:leader="dot" w:pos="8306"/>
            </w:tabs>
          </w:pPr>
          <w:r>
            <w:fldChar w:fldCharType="begin"/>
          </w:r>
          <w:r>
            <w:instrText xml:space="preserve"> HYPERLINK \l _Toc11535 </w:instrText>
          </w:r>
          <w: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_Toc11535 \h </w:instrText>
          </w:r>
          <w:r>
            <w:fldChar w:fldCharType="separate"/>
          </w:r>
          <w:r>
            <w:t>10</w:t>
          </w:r>
          <w:r>
            <w:fldChar w:fldCharType="end"/>
          </w:r>
          <w:r>
            <w:fldChar w:fldCharType="end"/>
          </w:r>
        </w:p>
        <w:p>
          <w:pPr>
            <w:pStyle w:val="27"/>
            <w:tabs>
              <w:tab w:val="right" w:leader="dot" w:pos="8306"/>
            </w:tabs>
          </w:pPr>
          <w:r>
            <w:fldChar w:fldCharType="begin"/>
          </w:r>
          <w:r>
            <w:instrText xml:space="preserve"> HYPERLINK \l _Toc28987 </w:instrText>
          </w:r>
          <w: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_Toc28987 \h </w:instrText>
          </w:r>
          <w:r>
            <w:fldChar w:fldCharType="separate"/>
          </w:r>
          <w:r>
            <w:t>12</w:t>
          </w:r>
          <w:r>
            <w:fldChar w:fldCharType="end"/>
          </w:r>
          <w:r>
            <w:fldChar w:fldCharType="end"/>
          </w:r>
        </w:p>
        <w:p>
          <w:pPr>
            <w:pStyle w:val="27"/>
            <w:tabs>
              <w:tab w:val="right" w:leader="dot" w:pos="8306"/>
            </w:tabs>
          </w:pPr>
          <w:r>
            <w:fldChar w:fldCharType="begin"/>
          </w:r>
          <w:r>
            <w:instrText xml:space="preserve"> HYPERLINK \l _Toc25841 </w:instrText>
          </w:r>
          <w:r>
            <w:fldChar w:fldCharType="separate"/>
          </w:r>
          <w:r>
            <w:rPr>
              <w:rFonts w:hint="eastAsia" w:ascii="黑体" w:eastAsia="黑体"/>
            </w:rPr>
            <w:t>九、 国有资本经营预算支出决算情况说明</w:t>
          </w:r>
          <w:r>
            <w:tab/>
          </w:r>
          <w:r>
            <w:fldChar w:fldCharType="begin"/>
          </w:r>
          <w:r>
            <w:instrText xml:space="preserve"> PAGEREF _Toc25841 \h </w:instrText>
          </w:r>
          <w:r>
            <w:fldChar w:fldCharType="separate"/>
          </w:r>
          <w:r>
            <w:t>12</w:t>
          </w:r>
          <w:r>
            <w:fldChar w:fldCharType="end"/>
          </w:r>
          <w:r>
            <w:fldChar w:fldCharType="end"/>
          </w:r>
        </w:p>
        <w:p>
          <w:pPr>
            <w:pStyle w:val="27"/>
            <w:tabs>
              <w:tab w:val="right" w:leader="dot" w:pos="8306"/>
            </w:tabs>
          </w:pPr>
          <w:r>
            <w:fldChar w:fldCharType="begin"/>
          </w:r>
          <w:r>
            <w:instrText xml:space="preserve"> HYPERLINK \l _Toc26639 </w:instrText>
          </w:r>
          <w:r>
            <w:fldChar w:fldCharType="separate"/>
          </w:r>
          <w:r>
            <w:rPr>
              <w:rFonts w:hint="eastAsia" w:ascii="黑体" w:eastAsia="黑体"/>
            </w:rPr>
            <w:t>十、 其他重要事项的情况说明</w:t>
          </w:r>
          <w:r>
            <w:tab/>
          </w:r>
          <w:r>
            <w:fldChar w:fldCharType="begin"/>
          </w:r>
          <w:r>
            <w:instrText xml:space="preserve"> PAGEREF _Toc26639 \h </w:instrText>
          </w:r>
          <w:r>
            <w:fldChar w:fldCharType="separate"/>
          </w:r>
          <w:r>
            <w:t>12</w:t>
          </w:r>
          <w:r>
            <w:fldChar w:fldCharType="end"/>
          </w:r>
          <w:r>
            <w:fldChar w:fldCharType="end"/>
          </w:r>
        </w:p>
        <w:p>
          <w:pPr>
            <w:pStyle w:val="26"/>
            <w:tabs>
              <w:tab w:val="right" w:leader="dot" w:pos="8306"/>
            </w:tabs>
            <w:rPr>
              <w:b/>
            </w:rPr>
          </w:pPr>
          <w:r>
            <w:rPr>
              <w:b/>
            </w:rPr>
            <w:fldChar w:fldCharType="begin"/>
          </w:r>
          <w:r>
            <w:rPr>
              <w:b/>
            </w:rPr>
            <w:instrText xml:space="preserve"> HYPERLINK \l _Toc10023 </w:instrText>
          </w:r>
          <w:r>
            <w:rPr>
              <w:b/>
            </w:rPr>
            <w:fldChar w:fldCharType="separate"/>
          </w:r>
          <w:r>
            <w:rPr>
              <w:rFonts w:hint="eastAsia" w:ascii="黑体" w:eastAsia="黑体"/>
              <w:b/>
            </w:rPr>
            <w:t xml:space="preserve">第三部分 </w:t>
          </w:r>
          <w:r>
            <w:rPr>
              <w:rFonts w:hint="eastAsia" w:ascii="黑体" w:eastAsia="黑体"/>
              <w:b/>
              <w:szCs w:val="44"/>
            </w:rPr>
            <w:t>名</w:t>
          </w:r>
          <w:r>
            <w:rPr>
              <w:rFonts w:hint="eastAsia" w:ascii="黑体" w:eastAsia="黑体"/>
              <w:b/>
            </w:rPr>
            <w:t>词解释</w:t>
          </w:r>
          <w:r>
            <w:rPr>
              <w:b/>
            </w:rPr>
            <w:tab/>
          </w:r>
          <w:r>
            <w:rPr>
              <w:b/>
            </w:rPr>
            <w:fldChar w:fldCharType="begin"/>
          </w:r>
          <w:r>
            <w:rPr>
              <w:b/>
            </w:rPr>
            <w:instrText xml:space="preserve"> PAGEREF _Toc10023 \h </w:instrText>
          </w:r>
          <w:r>
            <w:rPr>
              <w:b/>
            </w:rPr>
            <w:fldChar w:fldCharType="separate"/>
          </w:r>
          <w:r>
            <w:rPr>
              <w:b/>
            </w:rPr>
            <w:t>14</w:t>
          </w:r>
          <w:r>
            <w:rPr>
              <w:b/>
            </w:rPr>
            <w:fldChar w:fldCharType="end"/>
          </w:r>
          <w:r>
            <w:rPr>
              <w:b/>
            </w:rPr>
            <w:fldChar w:fldCharType="end"/>
          </w:r>
        </w:p>
        <w:p>
          <w:pPr>
            <w:pStyle w:val="26"/>
            <w:tabs>
              <w:tab w:val="right" w:leader="dot" w:pos="8306"/>
            </w:tabs>
            <w:rPr>
              <w:b/>
            </w:rPr>
          </w:pPr>
          <w:r>
            <w:rPr>
              <w:b/>
            </w:rPr>
            <w:fldChar w:fldCharType="begin"/>
          </w:r>
          <w:r>
            <w:rPr>
              <w:b/>
            </w:rPr>
            <w:instrText xml:space="preserve"> HYPERLINK \l _Toc9975 </w:instrText>
          </w:r>
          <w:r>
            <w:rPr>
              <w:b/>
            </w:rPr>
            <w:fldChar w:fldCharType="separate"/>
          </w:r>
          <w:r>
            <w:rPr>
              <w:rFonts w:hint="eastAsia" w:ascii="黑体" w:eastAsia="黑体"/>
              <w:b/>
              <w:szCs w:val="44"/>
            </w:rPr>
            <w:t>第</w:t>
          </w:r>
          <w:r>
            <w:rPr>
              <w:rFonts w:hint="eastAsia" w:ascii="黑体" w:eastAsia="黑体"/>
              <w:b/>
            </w:rPr>
            <w:t>四部分 附件</w:t>
          </w:r>
          <w:r>
            <w:rPr>
              <w:b/>
            </w:rPr>
            <w:tab/>
          </w:r>
          <w:r>
            <w:rPr>
              <w:b/>
            </w:rPr>
            <w:fldChar w:fldCharType="begin"/>
          </w:r>
          <w:r>
            <w:rPr>
              <w:b/>
            </w:rPr>
            <w:instrText xml:space="preserve"> PAGEREF _Toc9975 \h </w:instrText>
          </w:r>
          <w:r>
            <w:rPr>
              <w:b/>
            </w:rPr>
            <w:fldChar w:fldCharType="separate"/>
          </w:r>
          <w:r>
            <w:rPr>
              <w:b/>
            </w:rPr>
            <w:t>17</w:t>
          </w:r>
          <w:r>
            <w:rPr>
              <w:b/>
            </w:rPr>
            <w:fldChar w:fldCharType="end"/>
          </w:r>
          <w:r>
            <w:rPr>
              <w:b/>
            </w:rPr>
            <w:fldChar w:fldCharType="end"/>
          </w:r>
        </w:p>
        <w:p>
          <w:pPr>
            <w:pStyle w:val="27"/>
            <w:tabs>
              <w:tab w:val="right" w:leader="dot" w:pos="8306"/>
            </w:tabs>
          </w:pPr>
          <w:r>
            <w:fldChar w:fldCharType="begin"/>
          </w:r>
          <w:r>
            <w:instrText xml:space="preserve"> HYPERLINK \l _Toc27888 </w:instrText>
          </w:r>
          <w:r>
            <w:fldChar w:fldCharType="separate"/>
          </w:r>
          <w:r>
            <w:rPr>
              <w:rFonts w:hint="eastAsia" w:ascii="黑体" w:eastAsia="黑体" w:cs="黑体"/>
              <w:szCs w:val="32"/>
            </w:rPr>
            <w:t>附件</w:t>
          </w:r>
          <w:r>
            <w:tab/>
          </w:r>
          <w:r>
            <w:fldChar w:fldCharType="begin"/>
          </w:r>
          <w:r>
            <w:instrText xml:space="preserve"> PAGEREF _Toc27888 \h </w:instrText>
          </w:r>
          <w:r>
            <w:fldChar w:fldCharType="separate"/>
          </w:r>
          <w:r>
            <w:t>17</w:t>
          </w:r>
          <w:r>
            <w:fldChar w:fldCharType="end"/>
          </w:r>
          <w:r>
            <w:fldChar w:fldCharType="end"/>
          </w:r>
        </w:p>
        <w:p>
          <w:pPr>
            <w:pStyle w:val="26"/>
            <w:tabs>
              <w:tab w:val="right" w:leader="dot" w:pos="8306"/>
            </w:tabs>
            <w:rPr>
              <w:b/>
            </w:rPr>
          </w:pPr>
          <w:r>
            <w:rPr>
              <w:b/>
            </w:rPr>
            <w:fldChar w:fldCharType="begin"/>
          </w:r>
          <w:r>
            <w:rPr>
              <w:b/>
            </w:rPr>
            <w:instrText xml:space="preserve"> HYPERLINK \l _Toc5305 </w:instrText>
          </w:r>
          <w:r>
            <w:rPr>
              <w:b/>
            </w:rPr>
            <w:fldChar w:fldCharType="separate"/>
          </w:r>
          <w:r>
            <w:rPr>
              <w:rFonts w:hint="eastAsia" w:ascii="黑体" w:eastAsia="黑体"/>
              <w:b/>
              <w:szCs w:val="44"/>
            </w:rPr>
            <w:t>第</w:t>
          </w:r>
          <w:r>
            <w:rPr>
              <w:rFonts w:hint="eastAsia" w:ascii="黑体" w:eastAsia="黑体"/>
              <w:b/>
            </w:rPr>
            <w:t>五部分 附表</w:t>
          </w:r>
          <w:r>
            <w:rPr>
              <w:b/>
            </w:rPr>
            <w:tab/>
          </w:r>
          <w:r>
            <w:rPr>
              <w:b/>
            </w:rPr>
            <w:fldChar w:fldCharType="begin"/>
          </w:r>
          <w:r>
            <w:rPr>
              <w:b/>
            </w:rPr>
            <w:instrText xml:space="preserve"> PAGEREF _Toc5305 \h </w:instrText>
          </w:r>
          <w:r>
            <w:rPr>
              <w:b/>
            </w:rPr>
            <w:fldChar w:fldCharType="separate"/>
          </w:r>
          <w:r>
            <w:rPr>
              <w:b/>
            </w:rPr>
            <w:t>18</w:t>
          </w:r>
          <w:r>
            <w:rPr>
              <w:b/>
            </w:rPr>
            <w:fldChar w:fldCharType="end"/>
          </w:r>
          <w:r>
            <w:rPr>
              <w:b/>
            </w:rPr>
            <w:fldChar w:fldCharType="end"/>
          </w:r>
        </w:p>
        <w:p>
          <w:pPr>
            <w:pStyle w:val="27"/>
            <w:tabs>
              <w:tab w:val="right" w:leader="dot" w:pos="8306"/>
            </w:tabs>
          </w:pPr>
          <w:r>
            <w:fldChar w:fldCharType="begin"/>
          </w:r>
          <w:r>
            <w:instrText xml:space="preserve"> HYPERLINK \l _Toc4724 </w:instrText>
          </w:r>
          <w: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_Toc4724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_Toc21358 </w:instrText>
          </w:r>
          <w: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_Toc21358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_Toc21939 </w:instrText>
          </w:r>
          <w: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_Toc21939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_Toc25654 </w:instrText>
          </w:r>
          <w: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_Toc25654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_Toc2534 </w:instrText>
          </w:r>
          <w: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_Toc2534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_Toc12701 </w:instrText>
          </w:r>
          <w: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_Toc12701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_Toc2770 </w:instrText>
          </w:r>
          <w: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_Toc2770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_Toc32274 </w:instrText>
          </w:r>
          <w: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般公共预算财政拨款基本支出决算表</w:t>
          </w:r>
          <w:r>
            <w:tab/>
          </w:r>
          <w:r>
            <w:fldChar w:fldCharType="begin"/>
          </w:r>
          <w:r>
            <w:instrText xml:space="preserve"> PAGEREF _Toc32274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_Toc6119 </w:instrText>
          </w:r>
          <w: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_Toc6119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_Toc24347 </w:instrText>
          </w:r>
          <w:r>
            <w:fldChar w:fldCharType="separate"/>
          </w:r>
          <w:r>
            <w:rPr>
              <w:rFonts w:hint="eastAsia" w:ascii="仿宋" w:eastAsia="仿宋"/>
              <w:bCs w:val="0"/>
            </w:rPr>
            <w:t>十、</w:t>
          </w:r>
          <w:r>
            <w:rPr>
              <w:rFonts w:hint="eastAsia" w:ascii="仿宋" w:eastAsia="仿宋"/>
            </w:rPr>
            <w:t>一</w:t>
          </w:r>
          <w:r>
            <w:rPr>
              <w:rFonts w:hint="eastAsia" w:ascii="仿宋" w:eastAsia="仿宋"/>
              <w:bCs w:val="0"/>
            </w:rPr>
            <w:t>般公共预算财政拨款“三公”经费支出决算表</w:t>
          </w:r>
          <w:r>
            <w:tab/>
          </w:r>
          <w:r>
            <w:fldChar w:fldCharType="begin"/>
          </w:r>
          <w:r>
            <w:instrText xml:space="preserve"> PAGEREF _Toc24347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_Toc15645 </w:instrText>
          </w:r>
          <w:r>
            <w:fldChar w:fldCharType="separate"/>
          </w:r>
          <w:r>
            <w:rPr>
              <w:rFonts w:hint="eastAsia" w:ascii="仿宋" w:eastAsia="仿宋"/>
              <w:bCs w:val="0"/>
            </w:rPr>
            <w:t>十一、</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_Toc15645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_Toc29484 </w:instrText>
          </w:r>
          <w:r>
            <w:fldChar w:fldCharType="separate"/>
          </w:r>
          <w:r>
            <w:rPr>
              <w:rFonts w:hint="eastAsia" w:ascii="仿宋" w:eastAsia="仿宋"/>
              <w:bCs w:val="0"/>
            </w:rPr>
            <w:t>十二、</w:t>
          </w:r>
          <w:r>
            <w:rPr>
              <w:rFonts w:hint="eastAsia" w:ascii="仿宋" w:eastAsia="仿宋"/>
            </w:rPr>
            <w:t>政</w:t>
          </w:r>
          <w:r>
            <w:rPr>
              <w:rFonts w:hint="eastAsia" w:ascii="仿宋" w:eastAsia="仿宋"/>
              <w:bCs w:val="0"/>
            </w:rPr>
            <w:t>府性基金预算财政拨款“三公”经费支出决算表</w:t>
          </w:r>
          <w:r>
            <w:tab/>
          </w:r>
          <w:r>
            <w:fldChar w:fldCharType="begin"/>
          </w:r>
          <w:r>
            <w:instrText xml:space="preserve"> PAGEREF _Toc29484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_Toc24555 </w:instrText>
          </w:r>
          <w:r>
            <w:fldChar w:fldCharType="separate"/>
          </w:r>
          <w:r>
            <w:rPr>
              <w:rFonts w:hint="eastAsia" w:ascii="仿宋" w:eastAsia="仿宋"/>
              <w:bCs w:val="0"/>
            </w:rPr>
            <w:t>十三、</w:t>
          </w:r>
          <w:r>
            <w:rPr>
              <w:rFonts w:hint="eastAsia" w:ascii="仿宋" w:eastAsia="仿宋"/>
            </w:rPr>
            <w:t>国</w:t>
          </w:r>
          <w:r>
            <w:rPr>
              <w:rFonts w:hint="eastAsia" w:ascii="仿宋" w:eastAsia="仿宋"/>
              <w:bCs w:val="0"/>
            </w:rPr>
            <w:t>有资本经营预算财政拨款收入支出决算表</w:t>
          </w:r>
          <w:r>
            <w:tab/>
          </w:r>
          <w:r>
            <w:fldChar w:fldCharType="begin"/>
          </w:r>
          <w:r>
            <w:instrText xml:space="preserve"> PAGEREF _Toc24555 \h </w:instrText>
          </w:r>
          <w:r>
            <w:fldChar w:fldCharType="separate"/>
          </w:r>
          <w:r>
            <w:t>18</w:t>
          </w:r>
          <w:r>
            <w:fldChar w:fldCharType="end"/>
          </w:r>
          <w:r>
            <w:fldChar w:fldCharType="end"/>
          </w:r>
        </w:p>
        <w:p>
          <w:pPr>
            <w:pStyle w:val="27"/>
            <w:tabs>
              <w:tab w:val="right" w:leader="dot" w:pos="8306"/>
            </w:tabs>
          </w:pPr>
          <w:r>
            <w:fldChar w:fldCharType="begin"/>
          </w:r>
          <w:r>
            <w:instrText xml:space="preserve"> HYPERLINK \l _Toc12118 </w:instrText>
          </w:r>
          <w:r>
            <w:fldChar w:fldCharType="separate"/>
          </w:r>
          <w:r>
            <w:rPr>
              <w:rFonts w:hint="eastAsia" w:ascii="仿宋" w:eastAsia="仿宋"/>
              <w:bCs w:val="0"/>
            </w:rPr>
            <w:t>十四、国有资本经营预算财政拨款支出决算表</w:t>
          </w:r>
          <w:r>
            <w:tab/>
          </w:r>
          <w:r>
            <w:fldChar w:fldCharType="begin"/>
          </w:r>
          <w:r>
            <w:instrText xml:space="preserve"> PAGEREF _Toc12118 \h </w:instrText>
          </w:r>
          <w:r>
            <w:fldChar w:fldCharType="separate"/>
          </w:r>
          <w:r>
            <w:t>18</w:t>
          </w:r>
          <w:r>
            <w:fldChar w:fldCharType="end"/>
          </w:r>
          <w:r>
            <w:fldChar w:fldCharType="end"/>
          </w:r>
        </w:p>
        <w:p>
          <w:r>
            <w:rPr>
              <w:b/>
            </w:rPr>
            <w:fldChar w:fldCharType="end"/>
          </w:r>
        </w:p>
      </w:sdtContent>
    </w:sdt>
    <w:p>
      <w:pPr>
        <w:widowControl/>
        <w:spacing w:line="440" w:lineRule="exact"/>
        <w:jc w:val="left"/>
        <w:rPr>
          <w:rFonts w:ascii="仿宋" w:eastAsia="仿宋"/>
          <w:bCs/>
          <w:kern w:val="44"/>
          <w:sz w:val="24"/>
        </w:rPr>
      </w:pPr>
      <w:bookmarkStart w:id="16" w:name="_Toc15396599"/>
      <w:bookmarkStart w:id="17" w:name="_Toc15377196"/>
      <w:r>
        <w:rPr>
          <w:rFonts w:ascii="仿宋" w:eastAsia="仿宋"/>
          <w:b/>
          <w:sz w:val="24"/>
        </w:rPr>
        <w:br w:type="page"/>
      </w:r>
    </w:p>
    <w:p>
      <w:pPr>
        <w:pStyle w:val="3"/>
        <w:jc w:val="center"/>
        <w:rPr>
          <w:rStyle w:val="16"/>
          <w:rFonts w:ascii="黑体" w:eastAsia="黑体"/>
          <w:b/>
          <w:bCs w:val="0"/>
        </w:rPr>
      </w:pPr>
      <w:bookmarkStart w:id="18" w:name="_Toc8631"/>
      <w:bookmarkStart w:id="19" w:name="_Toc32398"/>
      <w:r>
        <w:rPr>
          <w:rFonts w:hint="eastAsia" w:ascii="黑体" w:eastAsia="黑体"/>
          <w:b w:val="0"/>
        </w:rPr>
        <w:t xml:space="preserve">第一部分 </w:t>
      </w:r>
      <w:r>
        <w:rPr>
          <w:rFonts w:hint="eastAsia" w:ascii="黑体" w:eastAsia="黑体"/>
          <w:b w:val="0"/>
          <w:lang w:eastAsia="zh-CN"/>
        </w:rPr>
        <w:t>单位</w:t>
      </w:r>
      <w:r>
        <w:rPr>
          <w:rStyle w:val="16"/>
          <w:rFonts w:hint="eastAsia" w:ascii="黑体" w:eastAsia="黑体"/>
          <w:b w:val="0"/>
          <w:bCs w:val="0"/>
        </w:rPr>
        <w:t>概况</w:t>
      </w:r>
      <w:bookmarkEnd w:id="16"/>
      <w:bookmarkEnd w:id="17"/>
      <w:bookmarkEnd w:id="18"/>
      <w:bookmarkEnd w:id="19"/>
    </w:p>
    <w:p>
      <w:pPr>
        <w:widowControl/>
        <w:jc w:val="left"/>
        <w:rPr>
          <w:rFonts w:ascii="黑体" w:eastAsia="黑体"/>
          <w:sz w:val="32"/>
          <w:szCs w:val="32"/>
        </w:rPr>
      </w:pP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Style w:val="17"/>
          <w:rFonts w:ascii="仿宋" w:eastAsia="仿宋"/>
          <w:b w:val="0"/>
          <w:bCs w:val="0"/>
        </w:rPr>
      </w:pPr>
      <w:bookmarkStart w:id="20" w:name="_Toc15396600"/>
      <w:bookmarkStart w:id="21" w:name="_Toc25422"/>
      <w:bookmarkStart w:id="22" w:name="_Toc15377197"/>
      <w:bookmarkStart w:id="23" w:name="_Toc30078"/>
      <w:r>
        <w:rPr>
          <w:rFonts w:hint="eastAsia" w:ascii="黑体" w:eastAsia="黑体"/>
          <w:b w:val="0"/>
        </w:rPr>
        <w:t>一、</w:t>
      </w:r>
      <w:r>
        <w:rPr>
          <w:rStyle w:val="17"/>
          <w:rFonts w:hint="eastAsia" w:ascii="黑体" w:eastAsia="黑体"/>
          <w:b w:val="0"/>
          <w:bCs w:val="0"/>
        </w:rPr>
        <w:t>职能</w:t>
      </w:r>
      <w:bookmarkEnd w:id="20"/>
      <w:bookmarkEnd w:id="21"/>
      <w:bookmarkEnd w:id="22"/>
      <w:r>
        <w:rPr>
          <w:rStyle w:val="17"/>
          <w:rFonts w:hint="eastAsia" w:ascii="黑体" w:eastAsia="黑体"/>
          <w:b w:val="0"/>
          <w:bCs w:val="0"/>
        </w:rPr>
        <w:t>简介</w:t>
      </w:r>
      <w:bookmarkEnd w:id="23"/>
    </w:p>
    <w:p>
      <w:pPr>
        <w:pStyle w:val="2"/>
        <w:adjustRightInd w:val="0"/>
        <w:snapToGrid w:val="0"/>
        <w:spacing w:before="93" w:beforeLines="0" w:line="600" w:lineRule="exact"/>
        <w:ind w:firstLine="665" w:firstLineChars="208"/>
        <w:outlineLvl w:val="2"/>
        <w:rPr>
          <w:rFonts w:hint="eastAsia" w:ascii="仿宋" w:eastAsia="仿宋"/>
          <w:bCs/>
          <w:sz w:val="32"/>
          <w:szCs w:val="32"/>
        </w:rPr>
      </w:pPr>
      <w:r>
        <w:rPr>
          <w:rFonts w:hint="eastAsia" w:ascii="仿宋" w:eastAsia="仿宋"/>
          <w:bCs/>
          <w:sz w:val="32"/>
          <w:szCs w:val="32"/>
        </w:rPr>
        <w:t>主要负责马尔康地区中小学教材教辅、一般图书等出版物的征订发行；负责全州新华书店教材教辅、一般图书的中转运输；负责全州新华书店主营业务的业务指导工作。</w:t>
      </w:r>
    </w:p>
    <w:p>
      <w:pPr>
        <w:pStyle w:val="4"/>
        <w:keepNext/>
        <w:keepLines/>
        <w:pageBreakBefore w:val="0"/>
        <w:widowControl w:val="0"/>
        <w:kinsoku/>
        <w:wordWrap/>
        <w:overflowPunct/>
        <w:topLinePunct w:val="0"/>
        <w:autoSpaceDE/>
        <w:autoSpaceDN/>
        <w:bidi w:val="0"/>
        <w:adjustRightInd/>
        <w:snapToGrid/>
        <w:spacing w:line="416" w:lineRule="auto"/>
        <w:ind w:firstLine="640" w:firstLineChars="200"/>
        <w:textAlignment w:val="auto"/>
        <w:rPr>
          <w:rFonts w:hint="eastAsia" w:ascii="黑体" w:eastAsia="黑体"/>
          <w:b w:val="0"/>
        </w:rPr>
      </w:pPr>
      <w:bookmarkStart w:id="24" w:name="_Toc15378446"/>
      <w:bookmarkStart w:id="25" w:name="_Toc21463"/>
      <w:bookmarkStart w:id="26" w:name="_Toc15377199"/>
      <w:r>
        <w:rPr>
          <w:rFonts w:hint="eastAsia" w:ascii="黑体" w:eastAsia="黑体"/>
          <w:b w:val="0"/>
        </w:rPr>
        <w:t>二、2021年重点工作完成情况</w:t>
      </w:r>
      <w:bookmarkEnd w:id="24"/>
      <w:bookmarkEnd w:id="25"/>
      <w:bookmarkEnd w:id="26"/>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right="0" w:rightChars="0" w:firstLine="640" w:firstLineChars="200"/>
        <w:jc w:val="both"/>
        <w:textAlignment w:val="auto"/>
        <w:rPr>
          <w:rFonts w:hint="default" w:ascii="Times New Roman" w:hAnsi="Times New Roman" w:eastAsia="仿宋_GB2312" w:cs="Times New Roman"/>
          <w:b w:val="0"/>
          <w:bCs w:val="0"/>
          <w:sz w:val="32"/>
          <w:szCs w:val="32"/>
        </w:rPr>
      </w:pPr>
      <w:bookmarkStart w:id="27" w:name="_Toc15377200"/>
      <w:bookmarkStart w:id="28" w:name="_Toc15396601"/>
      <w:r>
        <w:rPr>
          <w:rFonts w:hint="eastAsia" w:eastAsia="仿宋_GB2312" w:cs="Times New Roman"/>
          <w:b w:val="0"/>
          <w:bCs w:val="0"/>
          <w:sz w:val="32"/>
          <w:szCs w:val="32"/>
          <w:lang w:val="en-US" w:eastAsia="zh-CN"/>
        </w:rPr>
        <w:t>1.圆满</w:t>
      </w:r>
      <w:r>
        <w:rPr>
          <w:rFonts w:hint="eastAsia" w:eastAsia="仿宋_GB2312" w:cs="Times New Roman"/>
          <w:b w:val="0"/>
          <w:bCs w:val="0"/>
          <w:sz w:val="32"/>
          <w:szCs w:val="32"/>
          <w:lang w:eastAsia="zh-CN"/>
        </w:rPr>
        <w:t>完成马尔康地区</w:t>
      </w:r>
      <w:r>
        <w:rPr>
          <w:rFonts w:hint="default" w:ascii="Times New Roman" w:hAnsi="Times New Roman" w:eastAsia="仿宋_GB2312" w:cs="Times New Roman"/>
          <w:b w:val="0"/>
          <w:bCs w:val="0"/>
          <w:sz w:val="32"/>
          <w:szCs w:val="32"/>
        </w:rPr>
        <w:t>春</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秋两季教材教辅的征订发行工作。对全州各县店教材教辅征订发行工作做好业务指导和培训。完成文轩公司相关活动，积极配合协调相关部门，起好桥梁作用。</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2.圆满</w:t>
      </w:r>
      <w:r>
        <w:rPr>
          <w:rFonts w:hint="eastAsia" w:ascii="Times New Roman" w:hAnsi="Times New Roman" w:eastAsia="仿宋_GB2312" w:cs="Times New Roman"/>
          <w:b w:val="0"/>
          <w:bCs w:val="0"/>
          <w:sz w:val="32"/>
          <w:szCs w:val="32"/>
          <w:lang w:val="en-US" w:eastAsia="zh-CN"/>
        </w:rPr>
        <w:t>完成</w:t>
      </w:r>
      <w:r>
        <w:rPr>
          <w:rFonts w:hint="default" w:ascii="Times New Roman" w:hAnsi="Times New Roman" w:eastAsia="仿宋_GB2312" w:cs="Times New Roman"/>
          <w:b w:val="0"/>
          <w:bCs w:val="0"/>
          <w:color w:val="000000"/>
          <w:sz w:val="32"/>
          <w:szCs w:val="32"/>
        </w:rPr>
        <w:t>一般图书、文体用品、纺织品、文创产品的进、销、存、调、退、运、结</w:t>
      </w:r>
      <w:r>
        <w:rPr>
          <w:rFonts w:hint="eastAsia" w:eastAsia="仿宋_GB2312" w:cs="Times New Roman"/>
          <w:b w:val="0"/>
          <w:bCs w:val="0"/>
          <w:color w:val="000000"/>
          <w:sz w:val="32"/>
          <w:szCs w:val="32"/>
          <w:lang w:eastAsia="zh-CN"/>
        </w:rPr>
        <w:t>等</w:t>
      </w:r>
      <w:r>
        <w:rPr>
          <w:rFonts w:hint="default" w:ascii="Times New Roman" w:hAnsi="Times New Roman" w:eastAsia="仿宋_GB2312" w:cs="Times New Roman"/>
          <w:b w:val="0"/>
          <w:bCs w:val="0"/>
          <w:color w:val="000000"/>
          <w:sz w:val="32"/>
          <w:szCs w:val="32"/>
        </w:rPr>
        <w:t>管理工作。</w:t>
      </w:r>
      <w:r>
        <w:rPr>
          <w:rFonts w:hint="default" w:ascii="Times New Roman" w:hAnsi="Times New Roman" w:eastAsia="仿宋_GB2312" w:cs="Times New Roman"/>
          <w:b w:val="0"/>
          <w:bCs w:val="0"/>
          <w:sz w:val="32"/>
          <w:szCs w:val="32"/>
        </w:rPr>
        <w:t>强化业务培训，</w:t>
      </w:r>
      <w:r>
        <w:rPr>
          <w:rFonts w:hint="default" w:ascii="Times New Roman" w:hAnsi="Times New Roman" w:eastAsia="仿宋_GB2312" w:cs="Times New Roman"/>
          <w:b w:val="0"/>
          <w:bCs w:val="0"/>
          <w:color w:val="000000"/>
          <w:sz w:val="32"/>
          <w:szCs w:val="32"/>
        </w:rPr>
        <w:t>做好政治读物、重点图书的征订发行工作</w:t>
      </w:r>
      <w:r>
        <w:rPr>
          <w:rFonts w:hint="default" w:ascii="Times New Roman" w:hAnsi="Times New Roman" w:eastAsia="仿宋_GB2312" w:cs="Times New Roman"/>
          <w:b w:val="0"/>
          <w:bCs w:val="0"/>
          <w:sz w:val="32"/>
          <w:szCs w:val="32"/>
        </w:rPr>
        <w:t>。强化对全州12县门店业务工作的指导。做好水吧等业态的联营工作。结合重要</w:t>
      </w:r>
      <w:r>
        <w:rPr>
          <w:rFonts w:hint="eastAsia" w:ascii="Times New Roman" w:hAnsi="Times New Roman" w:eastAsia="仿宋_GB2312" w:cs="Times New Roman"/>
          <w:b w:val="0"/>
          <w:bCs w:val="0"/>
          <w:sz w:val="32"/>
          <w:szCs w:val="32"/>
          <w:lang w:val="en-US" w:eastAsia="zh-CN"/>
        </w:rPr>
        <w:t>时间</w:t>
      </w:r>
      <w:r>
        <w:rPr>
          <w:rFonts w:hint="default" w:ascii="Times New Roman" w:hAnsi="Times New Roman" w:eastAsia="仿宋_GB2312" w:cs="Times New Roman"/>
          <w:b w:val="0"/>
          <w:bCs w:val="0"/>
          <w:sz w:val="32"/>
          <w:szCs w:val="32"/>
        </w:rPr>
        <w:t>节点开展图书展示展销活动。</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加强中转站</w:t>
      </w:r>
      <w:r>
        <w:rPr>
          <w:rFonts w:hint="eastAsia" w:eastAsia="仿宋_GB2312" w:cs="Times New Roman"/>
          <w:b w:val="0"/>
          <w:bCs w:val="0"/>
          <w:sz w:val="32"/>
          <w:szCs w:val="32"/>
          <w:lang w:eastAsia="zh-CN"/>
        </w:rPr>
        <w:t>运转</w:t>
      </w:r>
      <w:r>
        <w:rPr>
          <w:rFonts w:hint="default" w:ascii="Times New Roman" w:hAnsi="Times New Roman" w:eastAsia="仿宋_GB2312" w:cs="Times New Roman"/>
          <w:b w:val="0"/>
          <w:bCs w:val="0"/>
          <w:sz w:val="32"/>
          <w:szCs w:val="32"/>
        </w:rPr>
        <w:t>和监管工作。继续做好全州新华书店</w:t>
      </w:r>
      <w:r>
        <w:rPr>
          <w:rFonts w:hint="eastAsia" w:eastAsia="仿宋_GB2312" w:cs="Times New Roman"/>
          <w:b w:val="0"/>
          <w:bCs w:val="0"/>
          <w:sz w:val="32"/>
          <w:szCs w:val="32"/>
          <w:lang w:eastAsia="zh-CN"/>
        </w:rPr>
        <w:t>一般</w:t>
      </w:r>
      <w:r>
        <w:rPr>
          <w:rFonts w:hint="default" w:ascii="Times New Roman" w:hAnsi="Times New Roman" w:eastAsia="仿宋_GB2312" w:cs="Times New Roman"/>
          <w:b w:val="0"/>
          <w:bCs w:val="0"/>
          <w:sz w:val="32"/>
          <w:szCs w:val="32"/>
        </w:rPr>
        <w:t>图书、教材教辅等的收发货、退货及中转运输包件工作。做好都江堰中转室库房、办公室、租赁资产的管理等工作。强化对中转站干部职工的学习教育，完善监管方式。</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rPr>
        <w:t>认真做好社会效益评价工作。</w:t>
      </w:r>
      <w:r>
        <w:rPr>
          <w:rFonts w:hint="eastAsia" w:eastAsia="仿宋_GB2312" w:cs="Times New Roman"/>
          <w:b w:val="0"/>
          <w:bCs w:val="0"/>
          <w:sz w:val="32"/>
          <w:szCs w:val="32"/>
          <w:lang w:eastAsia="zh-CN"/>
        </w:rPr>
        <w:t>一</w:t>
      </w:r>
      <w:r>
        <w:rPr>
          <w:rFonts w:hint="default" w:ascii="Times New Roman" w:hAnsi="Times New Roman" w:eastAsia="仿宋_GB2312" w:cs="Times New Roman"/>
          <w:b w:val="0"/>
          <w:bCs w:val="0"/>
          <w:sz w:val="32"/>
          <w:szCs w:val="32"/>
        </w:rPr>
        <w:t>是利用节假日开展2021年下乡流动售书活动。</w:t>
      </w:r>
      <w:r>
        <w:rPr>
          <w:rFonts w:hint="eastAsia" w:eastAsia="仿宋_GB2312" w:cs="Times New Roman"/>
          <w:b w:val="0"/>
          <w:bCs w:val="0"/>
          <w:sz w:val="32"/>
          <w:szCs w:val="32"/>
          <w:lang w:eastAsia="zh-CN"/>
        </w:rPr>
        <w:t>二</w:t>
      </w:r>
      <w:r>
        <w:rPr>
          <w:rFonts w:hint="default" w:ascii="Times New Roman" w:hAnsi="Times New Roman" w:eastAsia="仿宋_GB2312" w:cs="Times New Roman"/>
          <w:b w:val="0"/>
          <w:bCs w:val="0"/>
          <w:sz w:val="32"/>
          <w:szCs w:val="32"/>
        </w:rPr>
        <w:t>是完成2021年度寺庙书屋图书配送工作。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加强</w:t>
      </w:r>
      <w:r>
        <w:rPr>
          <w:rFonts w:hint="eastAsia" w:eastAsia="仿宋_GB2312" w:cs="Times New Roman"/>
          <w:b w:val="0"/>
          <w:bCs w:val="0"/>
          <w:sz w:val="32"/>
          <w:szCs w:val="32"/>
          <w:lang w:eastAsia="zh-CN"/>
        </w:rPr>
        <w:t>党</w:t>
      </w:r>
      <w:r>
        <w:rPr>
          <w:rFonts w:hint="default" w:ascii="Times New Roman" w:hAnsi="Times New Roman" w:eastAsia="仿宋_GB2312" w:cs="Times New Roman"/>
          <w:b w:val="0"/>
          <w:bCs w:val="0"/>
          <w:sz w:val="32"/>
          <w:szCs w:val="32"/>
        </w:rPr>
        <w:t>支部</w:t>
      </w:r>
      <w:r>
        <w:rPr>
          <w:rFonts w:hint="eastAsia" w:eastAsia="仿宋_GB2312" w:cs="Times New Roman"/>
          <w:b w:val="0"/>
          <w:bCs w:val="0"/>
          <w:sz w:val="32"/>
          <w:szCs w:val="32"/>
          <w:lang w:eastAsia="zh-CN"/>
        </w:rPr>
        <w:t>建设</w:t>
      </w:r>
      <w:r>
        <w:rPr>
          <w:rFonts w:hint="default" w:ascii="Times New Roman" w:hAnsi="Times New Roman" w:eastAsia="仿宋_GB2312" w:cs="Times New Roman"/>
          <w:b w:val="0"/>
          <w:bCs w:val="0"/>
          <w:sz w:val="32"/>
          <w:szCs w:val="32"/>
        </w:rPr>
        <w:t>工作</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以党建带群团，认真落实党内政治组织生活，强化党员教育管理。落实党风廉政建设责任制，与各科室签订《党风廉政责任书》，加强对各经营环节的监管，继续落实学习型单位要求。</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加强单位内部财务管理工作，完善内控制度，强化对各经营部门的财务监管，做好货款的回收工作。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right="0" w:firstLine="640" w:firstLineChars="200"/>
        <w:jc w:val="both"/>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rPr>
        <w:t>抓好精神文明建设、安全生产、人事、老干部管理、节能减排、综合治理等</w:t>
      </w:r>
      <w:r>
        <w:rPr>
          <w:rFonts w:hint="default" w:ascii="Times New Roman" w:hAnsi="Times New Roman" w:eastAsia="仿宋_GB2312" w:cs="Times New Roman"/>
          <w:b w:val="0"/>
          <w:bCs w:val="0"/>
          <w:spacing w:val="15"/>
          <w:kern w:val="0"/>
          <w:sz w:val="32"/>
          <w:szCs w:val="32"/>
        </w:rPr>
        <w:t>日常工作。</w:t>
      </w:r>
    </w:p>
    <w:bookmarkEnd w:id="27"/>
    <w:bookmarkEnd w:id="28"/>
    <w:p>
      <w:pPr>
        <w:pStyle w:val="3"/>
        <w:ind w:right="440"/>
        <w:jc w:val="center"/>
        <w:outlineLvl w:val="9"/>
        <w:rPr>
          <w:rFonts w:hint="eastAsia" w:ascii="黑体" w:eastAsia="黑体"/>
          <w:b w:val="0"/>
        </w:rPr>
      </w:pPr>
      <w:bookmarkStart w:id="29" w:name="_Toc15377204"/>
      <w:bookmarkStart w:id="30" w:name="_Toc15396602"/>
      <w:bookmarkStart w:id="31" w:name="_Toc13191"/>
    </w:p>
    <w:p>
      <w:pPr>
        <w:pStyle w:val="3"/>
        <w:ind w:right="440"/>
        <w:jc w:val="center"/>
        <w:outlineLvl w:val="9"/>
        <w:rPr>
          <w:rFonts w:hint="eastAsia" w:ascii="黑体" w:eastAsia="黑体"/>
          <w:b w:val="0"/>
        </w:rPr>
      </w:pPr>
    </w:p>
    <w:p>
      <w:pPr>
        <w:pStyle w:val="3"/>
        <w:ind w:right="440"/>
        <w:jc w:val="center"/>
        <w:outlineLvl w:val="9"/>
        <w:rPr>
          <w:rFonts w:hint="eastAsia" w:ascii="黑体" w:eastAsia="黑体"/>
          <w:b w:val="0"/>
        </w:rPr>
      </w:pPr>
    </w:p>
    <w:p>
      <w:pPr>
        <w:pStyle w:val="3"/>
        <w:ind w:right="440"/>
        <w:jc w:val="center"/>
        <w:outlineLvl w:val="9"/>
        <w:rPr>
          <w:rFonts w:hint="eastAsia" w:ascii="黑体" w:eastAsia="黑体"/>
          <w:b w:val="0"/>
        </w:rPr>
      </w:pPr>
    </w:p>
    <w:p>
      <w:pPr>
        <w:pStyle w:val="3"/>
        <w:ind w:right="440"/>
        <w:jc w:val="both"/>
        <w:outlineLvl w:val="9"/>
        <w:rPr>
          <w:rFonts w:hint="eastAsia" w:ascii="黑体" w:eastAsia="黑体"/>
          <w:b w:val="0"/>
        </w:rPr>
      </w:pPr>
    </w:p>
    <w:p>
      <w:pPr>
        <w:rPr>
          <w:rFonts w:hint="eastAsia" w:ascii="黑体" w:eastAsia="黑体"/>
          <w:b w:val="0"/>
        </w:rPr>
      </w:pPr>
    </w:p>
    <w:p>
      <w:pPr>
        <w:pStyle w:val="2"/>
        <w:rPr>
          <w:rFonts w:hint="eastAsia"/>
        </w:rPr>
      </w:pPr>
    </w:p>
    <w:p>
      <w:pPr>
        <w:pStyle w:val="3"/>
        <w:ind w:right="440"/>
        <w:jc w:val="center"/>
        <w:rPr>
          <w:rStyle w:val="16"/>
          <w:rFonts w:ascii="黑体" w:eastAsia="黑体"/>
          <w:b w:val="0"/>
          <w:bCs/>
        </w:rPr>
      </w:pPr>
      <w:bookmarkStart w:id="32" w:name="_Toc13956"/>
      <w:r>
        <w:rPr>
          <w:rFonts w:hint="eastAsia" w:ascii="黑体" w:eastAsia="黑体"/>
          <w:b w:val="0"/>
        </w:rPr>
        <w:t>第二部分 2021年度</w:t>
      </w:r>
      <w:r>
        <w:rPr>
          <w:rStyle w:val="16"/>
          <w:rFonts w:hint="eastAsia" w:ascii="黑体" w:eastAsia="黑体"/>
          <w:b w:val="0"/>
          <w:bCs/>
        </w:rPr>
        <w:t>单位决算情况说明</w:t>
      </w:r>
      <w:bookmarkEnd w:id="29"/>
      <w:bookmarkEnd w:id="30"/>
      <w:bookmarkEnd w:id="31"/>
      <w:bookmarkEnd w:id="32"/>
    </w:p>
    <w:p/>
    <w:p>
      <w:pPr>
        <w:pStyle w:val="22"/>
        <w:numPr>
          <w:ilvl w:val="0"/>
          <w:numId w:val="1"/>
        </w:numPr>
        <w:spacing w:line="600" w:lineRule="exact"/>
        <w:ind w:firstLineChars="0"/>
        <w:outlineLvl w:val="1"/>
        <w:rPr>
          <w:rStyle w:val="17"/>
          <w:rFonts w:ascii="黑体" w:eastAsia="黑体"/>
          <w:b w:val="0"/>
        </w:rPr>
      </w:pPr>
      <w:bookmarkStart w:id="33" w:name="_Toc15377205"/>
      <w:bookmarkStart w:id="34" w:name="_Toc23479"/>
      <w:bookmarkStart w:id="35" w:name="_Toc15396603"/>
      <w:bookmarkStart w:id="36" w:name="_Toc32709"/>
      <w:r>
        <w:rPr>
          <w:rFonts w:hint="eastAsia" w:ascii="黑体" w:eastAsia="黑体"/>
          <w:sz w:val="32"/>
          <w:szCs w:val="32"/>
        </w:rPr>
        <w:t>收</w:t>
      </w:r>
      <w:r>
        <w:rPr>
          <w:rStyle w:val="17"/>
          <w:rFonts w:hint="eastAsia" w:ascii="黑体" w:eastAsia="黑体"/>
          <w:b w:val="0"/>
        </w:rPr>
        <w:t>入支出决算总体情况说明</w:t>
      </w:r>
      <w:bookmarkEnd w:id="33"/>
      <w:bookmarkEnd w:id="34"/>
      <w:bookmarkEnd w:id="35"/>
      <w:bookmarkEnd w:id="36"/>
    </w:p>
    <w:p>
      <w:pPr>
        <w:spacing w:line="600" w:lineRule="exact"/>
        <w:ind w:firstLine="640" w:firstLineChars="200"/>
        <w:rPr>
          <w:rFonts w:hint="eastAsia" w:ascii="仿宋" w:eastAsia="仿宋"/>
          <w:sz w:val="32"/>
          <w:szCs w:val="32"/>
          <w:highlight w:val="red"/>
          <w:lang w:eastAsia="zh-CN"/>
        </w:rPr>
      </w:pPr>
      <w:r>
        <w:rPr>
          <w:rFonts w:hint="eastAsia" w:ascii="仿宋" w:eastAsia="仿宋"/>
          <w:sz w:val="32"/>
          <w:szCs w:val="32"/>
        </w:rPr>
        <w:t>2021年度收、支总计617.61万元。与2020年相比，收、支总计各增加</w:t>
      </w:r>
      <w:r>
        <w:rPr>
          <w:rFonts w:hint="eastAsia" w:ascii="仿宋" w:eastAsia="仿宋"/>
          <w:sz w:val="32"/>
          <w:szCs w:val="32"/>
          <w:lang w:val="en-US" w:eastAsia="zh-CN"/>
        </w:rPr>
        <w:t>93.34</w:t>
      </w:r>
      <w:r>
        <w:rPr>
          <w:rFonts w:hint="eastAsia" w:ascii="仿宋" w:eastAsia="仿宋"/>
          <w:sz w:val="32"/>
          <w:szCs w:val="32"/>
        </w:rPr>
        <w:t>万元，增长</w:t>
      </w:r>
      <w:r>
        <w:rPr>
          <w:rFonts w:hint="eastAsia" w:ascii="仿宋" w:eastAsia="仿宋"/>
          <w:sz w:val="32"/>
          <w:szCs w:val="32"/>
          <w:highlight w:val="none"/>
          <w:lang w:val="en-US" w:eastAsia="zh-CN"/>
        </w:rPr>
        <w:t>17.80</w:t>
      </w:r>
      <w:r>
        <w:rPr>
          <w:rFonts w:ascii="仿宋" w:eastAsia="仿宋"/>
          <w:sz w:val="32"/>
          <w:szCs w:val="32"/>
          <w:highlight w:val="none"/>
        </w:rPr>
        <w:t>%</w:t>
      </w:r>
      <w:r>
        <w:rPr>
          <w:rFonts w:hint="eastAsia" w:ascii="仿宋" w:eastAsia="仿宋"/>
          <w:sz w:val="32"/>
          <w:szCs w:val="32"/>
        </w:rPr>
        <w:t>。</w:t>
      </w:r>
      <w:r>
        <w:rPr>
          <w:rFonts w:hint="eastAsia" w:ascii="仿宋" w:eastAsia="仿宋"/>
          <w:sz w:val="32"/>
          <w:szCs w:val="32"/>
          <w:highlight w:val="none"/>
        </w:rPr>
        <w:t>主要变动原因是</w:t>
      </w:r>
      <w:r>
        <w:rPr>
          <w:rFonts w:hint="eastAsia" w:ascii="仿宋" w:eastAsia="仿宋"/>
          <w:sz w:val="32"/>
          <w:szCs w:val="32"/>
          <w:highlight w:val="none"/>
          <w:lang w:eastAsia="zh-CN"/>
        </w:rPr>
        <w:t>新增固定资产。</w:t>
      </w:r>
    </w:p>
    <w:p>
      <w:pPr>
        <w:spacing w:line="600" w:lineRule="exact"/>
        <w:ind w:firstLine="640" w:firstLineChars="200"/>
        <w:jc w:val="left"/>
        <w:rPr>
          <w:rFonts w:ascii="仿宋_GB2312" w:eastAsia="仿宋_GB2312"/>
          <w:sz w:val="32"/>
          <w:szCs w:val="32"/>
        </w:rPr>
      </w:pPr>
      <w:r>
        <w:rPr>
          <w:rFonts w:hint="eastAsia" w:ascii="仿宋" w:hAnsi="仿宋" w:eastAsia="仿宋"/>
          <w:color w:val="000000"/>
          <w:sz w:val="32"/>
          <w:szCs w:val="32"/>
          <w:lang w:eastAsia="zh-CN"/>
        </w:rPr>
        <w:drawing>
          <wp:anchor distT="0" distB="0" distL="114300" distR="114300" simplePos="0" relativeHeight="251659264" behindDoc="1" locked="0" layoutInCell="1" allowOverlap="1">
            <wp:simplePos x="0" y="0"/>
            <wp:positionH relativeFrom="column">
              <wp:posOffset>1049020</wp:posOffset>
            </wp:positionH>
            <wp:positionV relativeFrom="paragraph">
              <wp:posOffset>195580</wp:posOffset>
            </wp:positionV>
            <wp:extent cx="2360930" cy="1771015"/>
            <wp:effectExtent l="4445" t="4445" r="15875" b="15240"/>
            <wp:wrapTight wrapText="bothSides">
              <wp:wrapPolygon>
                <wp:start x="-41" y="-54"/>
                <wp:lineTo x="-41" y="21321"/>
                <wp:lineTo x="21397" y="21321"/>
                <wp:lineTo x="21397" y="-54"/>
                <wp:lineTo x="-41" y="-54"/>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sz w:val="32"/>
          <w:szCs w:val="32"/>
        </w:rPr>
      </w:pPr>
    </w:p>
    <w:p>
      <w:pPr>
        <w:spacing w:line="600" w:lineRule="exact"/>
        <w:ind w:firstLine="640" w:firstLineChars="200"/>
        <w:jc w:val="left"/>
        <w:rPr>
          <w:rFonts w:ascii="仿宋_GB2312" w:eastAsia="仿宋_GB2312"/>
          <w:sz w:val="32"/>
          <w:szCs w:val="32"/>
        </w:rPr>
      </w:pPr>
    </w:p>
    <w:p>
      <w:pPr>
        <w:pStyle w:val="2"/>
      </w:pPr>
    </w:p>
    <w:p>
      <w:pPr>
        <w:spacing w:line="600" w:lineRule="exact"/>
        <w:ind w:firstLine="640" w:firstLineChars="200"/>
        <w:jc w:val="left"/>
        <w:rPr>
          <w:rFonts w:ascii="仿宋_GB2312" w:eastAsia="仿宋_GB2312"/>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spacing w:line="600" w:lineRule="exact"/>
        <w:ind w:firstLine="640" w:firstLineChars="200"/>
        <w:jc w:val="left"/>
        <w:rPr>
          <w:rFonts w:ascii="仿宋_GB2312" w:eastAsia="仿宋_GB2312"/>
          <w:sz w:val="32"/>
          <w:szCs w:val="32"/>
        </w:rPr>
      </w:pPr>
    </w:p>
    <w:p>
      <w:pPr>
        <w:pStyle w:val="22"/>
        <w:numPr>
          <w:ilvl w:val="0"/>
          <w:numId w:val="1"/>
        </w:numPr>
        <w:spacing w:line="600" w:lineRule="exact"/>
        <w:ind w:firstLineChars="0"/>
        <w:outlineLvl w:val="1"/>
        <w:rPr>
          <w:rStyle w:val="17"/>
          <w:rFonts w:ascii="黑体" w:eastAsia="黑体"/>
          <w:b w:val="0"/>
        </w:rPr>
      </w:pPr>
      <w:bookmarkStart w:id="37" w:name="_Toc15396604"/>
      <w:bookmarkStart w:id="38" w:name="_Toc15377206"/>
      <w:bookmarkStart w:id="39" w:name="_Toc15354"/>
      <w:bookmarkStart w:id="40" w:name="_Toc20696"/>
      <w:r>
        <w:rPr>
          <w:rFonts w:hint="eastAsia" w:ascii="黑体" w:eastAsia="黑体"/>
          <w:sz w:val="32"/>
          <w:szCs w:val="32"/>
        </w:rPr>
        <w:t>收</w:t>
      </w:r>
      <w:r>
        <w:rPr>
          <w:rStyle w:val="17"/>
          <w:rFonts w:hint="eastAsia" w:ascii="黑体" w:eastAsia="黑体"/>
          <w:b w:val="0"/>
        </w:rPr>
        <w:t>入决算情况说明</w:t>
      </w:r>
      <w:bookmarkEnd w:id="37"/>
      <w:bookmarkEnd w:id="38"/>
      <w:bookmarkEnd w:id="39"/>
      <w:bookmarkEnd w:id="40"/>
    </w:p>
    <w:p>
      <w:pPr>
        <w:spacing w:line="600" w:lineRule="exact"/>
        <w:ind w:firstLine="640" w:firstLineChars="200"/>
        <w:outlineLvl w:val="1"/>
        <w:rPr>
          <w:rFonts w:ascii="仿宋" w:eastAsia="仿宋"/>
          <w:sz w:val="32"/>
          <w:szCs w:val="32"/>
        </w:rPr>
      </w:pPr>
      <w:bookmarkStart w:id="41" w:name="_Toc12011"/>
      <w:bookmarkStart w:id="42" w:name="_Toc5388"/>
      <w:r>
        <w:rPr>
          <w:rFonts w:ascii="仿宋" w:eastAsia="仿宋"/>
          <w:sz w:val="32"/>
          <w:szCs w:val="32"/>
        </w:rPr>
        <w:t>20</w:t>
      </w:r>
      <w:r>
        <w:rPr>
          <w:rFonts w:hint="eastAsia" w:ascii="仿宋" w:eastAsia="仿宋"/>
          <w:sz w:val="32"/>
          <w:szCs w:val="32"/>
        </w:rPr>
        <w:t>21年本年收入合计617.61万元，其中：一般公共预算财政拨款收入617.61万元，占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w:t>
      </w:r>
      <w:bookmarkEnd w:id="41"/>
      <w:bookmarkEnd w:id="42"/>
    </w:p>
    <w:p>
      <w:pPr>
        <w:spacing w:line="600" w:lineRule="exact"/>
        <w:ind w:firstLine="643" w:firstLineChars="200"/>
        <w:outlineLvl w:val="1"/>
        <w:rPr>
          <w:rFonts w:ascii="仿宋" w:eastAsia="仿宋"/>
          <w:b/>
          <w:sz w:val="32"/>
          <w:szCs w:val="32"/>
        </w:rPr>
      </w:pPr>
      <w:bookmarkStart w:id="43" w:name="_Toc88"/>
      <w:bookmarkStart w:id="44" w:name="_Toc10331"/>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，仅罗列本部门涉及的收入。</w:t>
      </w:r>
      <w:r>
        <w:rPr>
          <w:rFonts w:ascii="仿宋" w:eastAsia="仿宋"/>
          <w:b/>
          <w:sz w:val="32"/>
          <w:szCs w:val="32"/>
        </w:rPr>
        <w:t>）</w:t>
      </w:r>
      <w:bookmarkEnd w:id="43"/>
      <w:bookmarkEnd w:id="44"/>
    </w:p>
    <w:p>
      <w:pPr>
        <w:spacing w:line="600" w:lineRule="exact"/>
        <w:ind w:firstLine="640" w:firstLineChars="200"/>
        <w:outlineLvl w:val="9"/>
        <w:rPr>
          <w:rFonts w:ascii="仿宋" w:eastAsia="仿宋"/>
          <w:sz w:val="32"/>
          <w:szCs w:val="32"/>
        </w:rPr>
      </w:pPr>
      <w:r>
        <w:rPr>
          <w:rFonts w:hint="eastAsia" w:ascii="仿宋_GB2312" w:eastAsia="仿宋_GB2312"/>
          <w:color w:val="FF0000"/>
          <w:sz w:val="32"/>
          <w:szCs w:val="32"/>
          <w:lang w:eastAsia="zh-CN"/>
        </w:rPr>
        <w:drawing>
          <wp:anchor distT="0" distB="0" distL="114300" distR="114300" simplePos="0" relativeHeight="251660288" behindDoc="1" locked="0" layoutInCell="1" allowOverlap="1">
            <wp:simplePos x="0" y="0"/>
            <wp:positionH relativeFrom="column">
              <wp:posOffset>935355</wp:posOffset>
            </wp:positionH>
            <wp:positionV relativeFrom="paragraph">
              <wp:posOffset>17780</wp:posOffset>
            </wp:positionV>
            <wp:extent cx="2176145" cy="1631950"/>
            <wp:effectExtent l="4445" t="4445" r="10160" b="20955"/>
            <wp:wrapTight wrapText="bothSides">
              <wp:wrapPolygon>
                <wp:start x="-44" y="-59"/>
                <wp:lineTo x="-44" y="21373"/>
                <wp:lineTo x="21512" y="21373"/>
                <wp:lineTo x="21512" y="-59"/>
                <wp:lineTo x="-44" y="-59"/>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rPr>
          <w:rFonts w:ascii="仿宋" w:eastAsia="仿宋"/>
          <w:sz w:val="32"/>
          <w:szCs w:val="32"/>
        </w:rPr>
      </w:pPr>
    </w:p>
    <w:p>
      <w:pPr>
        <w:pStyle w:val="2"/>
        <w:rPr>
          <w:rFonts w:ascii="仿宋" w:eastAsia="仿宋"/>
          <w:sz w:val="32"/>
          <w:szCs w:val="32"/>
        </w:rPr>
      </w:pPr>
    </w:p>
    <w:p>
      <w:pPr>
        <w:spacing w:line="600" w:lineRule="exact"/>
        <w:rPr>
          <w:rFonts w:hint="eastAsia" w:ascii="仿宋" w:eastAsia="仿宋"/>
          <w:sz w:val="32"/>
          <w:szCs w:val="32"/>
        </w:rPr>
      </w:pPr>
    </w:p>
    <w:p>
      <w:pPr>
        <w:spacing w:line="600" w:lineRule="exact"/>
        <w:ind w:firstLine="640" w:firstLineChars="200"/>
        <w:rPr>
          <w:rFonts w:ascii="仿宋_GB2312" w:eastAsia="仿宋_GB2312"/>
          <w:sz w:val="32"/>
          <w:szCs w:val="32"/>
        </w:rPr>
      </w:pPr>
      <w:r>
        <w:rPr>
          <w:rFonts w:hint="eastAsia" w:ascii="仿宋" w:eastAsia="仿宋"/>
          <w:sz w:val="32"/>
          <w:szCs w:val="32"/>
        </w:rPr>
        <w:t>（图2：收入决算结构图）（饼状图）</w:t>
      </w:r>
    </w:p>
    <w:p>
      <w:pPr>
        <w:pStyle w:val="22"/>
        <w:numPr>
          <w:ilvl w:val="0"/>
          <w:numId w:val="1"/>
        </w:numPr>
        <w:spacing w:line="600" w:lineRule="exact"/>
        <w:ind w:firstLineChars="0"/>
        <w:outlineLvl w:val="1"/>
        <w:rPr>
          <w:rStyle w:val="17"/>
          <w:rFonts w:ascii="黑体" w:eastAsia="黑体"/>
          <w:b w:val="0"/>
        </w:rPr>
      </w:pPr>
      <w:bookmarkStart w:id="45" w:name="_Toc31768"/>
      <w:bookmarkStart w:id="46" w:name="_Toc15377207"/>
      <w:bookmarkStart w:id="47" w:name="_Toc15396605"/>
      <w:bookmarkStart w:id="48" w:name="_Toc9507"/>
      <w:r>
        <w:rPr>
          <w:rFonts w:hint="eastAsia" w:ascii="黑体" w:eastAsia="黑体"/>
          <w:sz w:val="32"/>
          <w:szCs w:val="32"/>
        </w:rPr>
        <w:t>支</w:t>
      </w:r>
      <w:r>
        <w:rPr>
          <w:rStyle w:val="17"/>
          <w:rFonts w:hint="eastAsia" w:ascii="黑体" w:eastAsia="黑体"/>
          <w:b w:val="0"/>
        </w:rPr>
        <w:t>出决算情况说明</w:t>
      </w:r>
      <w:bookmarkEnd w:id="45"/>
      <w:bookmarkEnd w:id="46"/>
      <w:bookmarkEnd w:id="47"/>
      <w:bookmarkEnd w:id="48"/>
    </w:p>
    <w:p>
      <w:pPr>
        <w:spacing w:line="600" w:lineRule="exact"/>
        <w:ind w:firstLine="640" w:firstLineChars="200"/>
        <w:outlineLvl w:val="1"/>
        <w:rPr>
          <w:rFonts w:ascii="仿宋" w:eastAsia="仿宋"/>
          <w:sz w:val="32"/>
          <w:szCs w:val="32"/>
        </w:rPr>
      </w:pPr>
      <w:bookmarkStart w:id="49" w:name="_Toc32654"/>
      <w:bookmarkStart w:id="50" w:name="_Toc3987"/>
      <w:r>
        <w:rPr>
          <w:rFonts w:ascii="仿宋" w:eastAsia="仿宋"/>
          <w:sz w:val="32"/>
          <w:szCs w:val="32"/>
        </w:rPr>
        <w:t>20</w:t>
      </w:r>
      <w:r>
        <w:rPr>
          <w:rFonts w:hint="eastAsia" w:ascii="仿宋" w:eastAsia="仿宋"/>
          <w:sz w:val="32"/>
          <w:szCs w:val="32"/>
        </w:rPr>
        <w:t>21年本年支出合计617.61万元，其中：基本支出617.61万元，占</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w:t>
      </w:r>
      <w:bookmarkEnd w:id="49"/>
      <w:bookmarkEnd w:id="50"/>
    </w:p>
    <w:p>
      <w:pPr>
        <w:spacing w:line="600" w:lineRule="exact"/>
        <w:ind w:firstLine="640" w:firstLineChars="200"/>
        <w:outlineLvl w:val="1"/>
        <w:rPr>
          <w:rFonts w:ascii="仿宋" w:eastAsia="仿宋"/>
          <w:b/>
          <w:sz w:val="32"/>
          <w:szCs w:val="32"/>
        </w:rPr>
      </w:pPr>
      <w:bookmarkStart w:id="51" w:name="_Toc12379"/>
      <w:bookmarkStart w:id="52" w:name="_Toc16892"/>
      <w:r>
        <w:rPr>
          <w:rFonts w:hint="eastAsia" w:ascii="仿宋" w:eastAsia="仿宋"/>
          <w:sz w:val="32"/>
          <w:szCs w:val="32"/>
          <w:lang w:eastAsia="zh-CN"/>
        </w:rPr>
        <w:drawing>
          <wp:anchor distT="0" distB="0" distL="114300" distR="114300" simplePos="0" relativeHeight="251661312" behindDoc="1" locked="0" layoutInCell="1" allowOverlap="1">
            <wp:simplePos x="0" y="0"/>
            <wp:positionH relativeFrom="column">
              <wp:posOffset>883285</wp:posOffset>
            </wp:positionH>
            <wp:positionV relativeFrom="paragraph">
              <wp:posOffset>722630</wp:posOffset>
            </wp:positionV>
            <wp:extent cx="2322195" cy="1741805"/>
            <wp:effectExtent l="4445" t="4445" r="16510" b="6350"/>
            <wp:wrapTight wrapText="bothSides">
              <wp:wrapPolygon>
                <wp:start x="-41" y="-55"/>
                <wp:lineTo x="-41" y="21443"/>
                <wp:lineTo x="21399" y="21443"/>
                <wp:lineTo x="21399" y="-55"/>
                <wp:lineTo x="-41" y="-55"/>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表，仅罗列本部门涉及的支出。）</w:t>
      </w:r>
      <w:bookmarkEnd w:id="51"/>
      <w:bookmarkEnd w:id="52"/>
    </w:p>
    <w:p>
      <w:pPr>
        <w:spacing w:line="600" w:lineRule="exact"/>
        <w:ind w:firstLine="640" w:firstLineChars="200"/>
        <w:rPr>
          <w:rFonts w:hint="eastAsia" w:ascii="仿宋" w:eastAsia="仿宋"/>
          <w:sz w:val="32"/>
          <w:szCs w:val="32"/>
          <w:lang w:eastAsia="zh-CN"/>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（图3：支出决算结构图）（饼状图）</w:t>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17"/>
          <w:rFonts w:ascii="黑体" w:eastAsia="黑体"/>
          <w:b w:val="0"/>
        </w:rPr>
      </w:pPr>
      <w:bookmarkStart w:id="53" w:name="_Toc15377208"/>
      <w:bookmarkStart w:id="54" w:name="_Toc15396606"/>
      <w:bookmarkStart w:id="55" w:name="_Toc22879"/>
      <w:bookmarkStart w:id="56" w:name="_Toc21626"/>
      <w:r>
        <w:rPr>
          <w:rFonts w:hint="eastAsia" w:ascii="黑体" w:eastAsia="黑体"/>
          <w:sz w:val="32"/>
          <w:szCs w:val="32"/>
        </w:rPr>
        <w:t>四、财</w:t>
      </w:r>
      <w:r>
        <w:rPr>
          <w:rStyle w:val="17"/>
          <w:rFonts w:hint="eastAsia" w:ascii="黑体" w:eastAsia="黑体"/>
          <w:b w:val="0"/>
        </w:rPr>
        <w:t>政拨款收入支出决算总体情况说明</w:t>
      </w:r>
      <w:bookmarkEnd w:id="53"/>
      <w:bookmarkEnd w:id="54"/>
      <w:bookmarkEnd w:id="55"/>
      <w:bookmarkEnd w:id="56"/>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21年财政拨款收、支总计617.61万元。与</w:t>
      </w:r>
      <w:r>
        <w:rPr>
          <w:rFonts w:ascii="仿宋" w:eastAsia="仿宋"/>
          <w:sz w:val="32"/>
          <w:szCs w:val="32"/>
        </w:rPr>
        <w:t>20</w:t>
      </w:r>
      <w:r>
        <w:rPr>
          <w:rFonts w:hint="eastAsia" w:ascii="仿宋" w:eastAsia="仿宋"/>
          <w:sz w:val="32"/>
          <w:szCs w:val="32"/>
        </w:rPr>
        <w:t>20年相比，财政拨款收、支总计各增加</w:t>
      </w:r>
      <w:r>
        <w:rPr>
          <w:rFonts w:hint="eastAsia" w:ascii="仿宋" w:eastAsia="仿宋"/>
          <w:sz w:val="32"/>
          <w:szCs w:val="32"/>
          <w:lang w:val="en-US" w:eastAsia="zh-CN"/>
        </w:rPr>
        <w:t>93.34</w:t>
      </w:r>
      <w:r>
        <w:rPr>
          <w:rFonts w:hint="eastAsia" w:ascii="仿宋" w:eastAsia="仿宋"/>
          <w:sz w:val="32"/>
          <w:szCs w:val="32"/>
        </w:rPr>
        <w:t>万元，增长</w:t>
      </w:r>
      <w:r>
        <w:rPr>
          <w:rFonts w:hint="eastAsia" w:ascii="仿宋" w:eastAsia="仿宋"/>
          <w:sz w:val="32"/>
          <w:szCs w:val="32"/>
          <w:highlight w:val="none"/>
          <w:lang w:val="en-US" w:eastAsia="zh-CN"/>
        </w:rPr>
        <w:t>17.80</w:t>
      </w:r>
      <w:r>
        <w:rPr>
          <w:rFonts w:ascii="仿宋" w:eastAsia="仿宋"/>
          <w:sz w:val="32"/>
          <w:szCs w:val="32"/>
          <w:highlight w:val="none"/>
        </w:rPr>
        <w:t>%</w:t>
      </w:r>
      <w:r>
        <w:rPr>
          <w:rFonts w:hint="eastAsia" w:ascii="仿宋" w:eastAsia="仿宋"/>
          <w:sz w:val="32"/>
          <w:szCs w:val="32"/>
        </w:rPr>
        <w:t>。</w:t>
      </w:r>
      <w:r>
        <w:rPr>
          <w:rFonts w:hint="eastAsia" w:ascii="仿宋" w:eastAsia="仿宋"/>
          <w:sz w:val="32"/>
          <w:szCs w:val="32"/>
          <w:highlight w:val="none"/>
        </w:rPr>
        <w:t>主要变动原因是</w:t>
      </w:r>
      <w:r>
        <w:rPr>
          <w:rFonts w:hint="eastAsia" w:ascii="仿宋" w:eastAsia="仿宋"/>
          <w:sz w:val="32"/>
          <w:szCs w:val="32"/>
          <w:highlight w:val="none"/>
          <w:lang w:eastAsia="zh-CN"/>
        </w:rPr>
        <w:t>新增固定资产。</w:t>
      </w:r>
    </w:p>
    <w:p>
      <w:pPr>
        <w:spacing w:line="600" w:lineRule="exact"/>
        <w:ind w:firstLine="640"/>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pPr>
        <w:spacing w:line="600" w:lineRule="exact"/>
        <w:rPr>
          <w:rFonts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62336" behindDoc="1" locked="0" layoutInCell="1" allowOverlap="1">
            <wp:simplePos x="0" y="0"/>
            <wp:positionH relativeFrom="column">
              <wp:posOffset>992505</wp:posOffset>
            </wp:positionH>
            <wp:positionV relativeFrom="paragraph">
              <wp:posOffset>105410</wp:posOffset>
            </wp:positionV>
            <wp:extent cx="2336800" cy="1752600"/>
            <wp:effectExtent l="4445" t="4445" r="20955" b="14605"/>
            <wp:wrapTight wrapText="bothSides">
              <wp:wrapPolygon>
                <wp:start x="-41" y="-55"/>
                <wp:lineTo x="-41" y="21545"/>
                <wp:lineTo x="21442" y="21545"/>
                <wp:lineTo x="21442" y="-55"/>
                <wp:lineTo x="-41" y="-55"/>
              </wp:wrapPolygon>
            </wp:wrapTight>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rPr>
          <w:rFonts w:ascii="仿宋" w:eastAsia="仿宋"/>
          <w:b/>
          <w:sz w:val="32"/>
          <w:szCs w:val="32"/>
        </w:rPr>
      </w:pPr>
    </w:p>
    <w:p>
      <w:pPr>
        <w:spacing w:line="600" w:lineRule="exact"/>
        <w:ind w:firstLine="640" w:firstLineChars="200"/>
        <w:outlineLvl w:val="1"/>
        <w:rPr>
          <w:rStyle w:val="17"/>
          <w:rFonts w:ascii="黑体" w:eastAsia="黑体"/>
          <w:b w:val="0"/>
        </w:rPr>
      </w:pPr>
      <w:bookmarkStart w:id="57" w:name="_Toc15377209"/>
      <w:bookmarkStart w:id="58" w:name="_Toc15396607"/>
      <w:bookmarkStart w:id="59" w:name="_Toc26575"/>
      <w:bookmarkStart w:id="60" w:name="_Toc8314"/>
      <w:r>
        <w:rPr>
          <w:rFonts w:hint="eastAsia" w:ascii="黑体" w:eastAsia="黑体"/>
          <w:sz w:val="32"/>
          <w:szCs w:val="32"/>
        </w:rPr>
        <w:t>五、</w:t>
      </w:r>
      <w:r>
        <w:rPr>
          <w:rFonts w:hint="eastAsia" w:ascii="黑体" w:eastAsia="黑体"/>
          <w:b/>
          <w:sz w:val="32"/>
          <w:szCs w:val="32"/>
        </w:rPr>
        <w:t>一</w:t>
      </w:r>
      <w:r>
        <w:rPr>
          <w:rStyle w:val="17"/>
          <w:rFonts w:hint="eastAsia" w:ascii="黑体" w:eastAsia="黑体"/>
          <w:b w:val="0"/>
        </w:rPr>
        <w:t>般公共预算财政拨款支出决算情况说明</w:t>
      </w:r>
      <w:bookmarkEnd w:id="57"/>
      <w:bookmarkEnd w:id="58"/>
      <w:bookmarkEnd w:id="59"/>
      <w:bookmarkEnd w:id="60"/>
    </w:p>
    <w:p>
      <w:pPr>
        <w:spacing w:line="600" w:lineRule="exact"/>
        <w:ind w:firstLine="643" w:firstLineChars="200"/>
        <w:outlineLvl w:val="2"/>
        <w:rPr>
          <w:rFonts w:ascii="仿宋" w:eastAsia="仿宋"/>
          <w:b/>
          <w:sz w:val="32"/>
          <w:szCs w:val="32"/>
        </w:rPr>
      </w:pPr>
      <w:bookmarkStart w:id="61" w:name="_Toc15377210"/>
      <w:r>
        <w:rPr>
          <w:rFonts w:hint="eastAsia" w:ascii="仿宋" w:eastAsia="仿宋"/>
          <w:b/>
          <w:sz w:val="32"/>
          <w:szCs w:val="32"/>
        </w:rPr>
        <w:t>（一）一般公共预算财政拨款支出决算总体情况</w:t>
      </w:r>
      <w:bookmarkEnd w:id="61"/>
    </w:p>
    <w:p>
      <w:pPr>
        <w:spacing w:line="600" w:lineRule="exact"/>
        <w:ind w:firstLine="640" w:firstLineChars="200"/>
        <w:rPr>
          <w:rFonts w:ascii="仿宋" w:eastAsia="仿宋"/>
          <w:sz w:val="32"/>
          <w:szCs w:val="32"/>
          <w:highlight w:val="none"/>
        </w:rPr>
      </w:pPr>
      <w:r>
        <w:rPr>
          <w:rFonts w:ascii="仿宋" w:eastAsia="仿宋"/>
          <w:sz w:val="32"/>
          <w:szCs w:val="32"/>
        </w:rPr>
        <w:t>20</w:t>
      </w:r>
      <w:r>
        <w:rPr>
          <w:rFonts w:hint="eastAsia" w:ascii="仿宋" w:eastAsia="仿宋"/>
          <w:sz w:val="32"/>
          <w:szCs w:val="32"/>
        </w:rPr>
        <w:t>21年一般公共预算财政拨款支出</w:t>
      </w:r>
      <w:bookmarkStart w:id="62" w:name="OLE_LINK1"/>
      <w:r>
        <w:rPr>
          <w:rFonts w:hint="eastAsia" w:ascii="仿宋" w:eastAsia="仿宋"/>
          <w:sz w:val="32"/>
          <w:szCs w:val="32"/>
        </w:rPr>
        <w:t>617.61</w:t>
      </w:r>
      <w:bookmarkEnd w:id="62"/>
      <w:r>
        <w:rPr>
          <w:rFonts w:hint="eastAsia" w:ascii="仿宋" w:eastAsia="仿宋"/>
          <w:sz w:val="32"/>
          <w:szCs w:val="32"/>
        </w:rPr>
        <w:t>万元，占本年支出合计的</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32.65</w:t>
      </w:r>
      <w:r>
        <w:rPr>
          <w:rFonts w:hint="eastAsia" w:ascii="仿宋" w:eastAsia="仿宋"/>
          <w:sz w:val="32"/>
          <w:szCs w:val="32"/>
        </w:rPr>
        <w:t>万元，增长</w:t>
      </w:r>
      <w:r>
        <w:rPr>
          <w:rFonts w:hint="eastAsia" w:ascii="仿宋" w:eastAsia="仿宋"/>
          <w:sz w:val="32"/>
          <w:szCs w:val="32"/>
          <w:highlight w:val="none"/>
          <w:lang w:val="en-US" w:eastAsia="zh-CN"/>
        </w:rPr>
        <w:t>5.58</w:t>
      </w:r>
      <w:r>
        <w:rPr>
          <w:rFonts w:ascii="仿宋" w:eastAsia="仿宋"/>
          <w:sz w:val="32"/>
          <w:szCs w:val="32"/>
          <w:highlight w:val="none"/>
        </w:rPr>
        <w:t>%</w:t>
      </w:r>
      <w:r>
        <w:rPr>
          <w:rFonts w:hint="eastAsia" w:ascii="仿宋" w:eastAsia="仿宋"/>
          <w:sz w:val="32"/>
          <w:szCs w:val="32"/>
        </w:rPr>
        <w:t>。</w:t>
      </w:r>
      <w:r>
        <w:rPr>
          <w:rFonts w:hint="eastAsia" w:ascii="仿宋" w:eastAsia="仿宋"/>
          <w:sz w:val="32"/>
          <w:szCs w:val="32"/>
          <w:highlight w:val="none"/>
        </w:rPr>
        <w:t>主要变动原因是</w:t>
      </w:r>
      <w:r>
        <w:rPr>
          <w:rFonts w:hint="eastAsia" w:ascii="仿宋" w:eastAsia="仿宋"/>
          <w:sz w:val="32"/>
          <w:szCs w:val="32"/>
          <w:highlight w:val="none"/>
          <w:lang w:eastAsia="zh-CN"/>
        </w:rPr>
        <w:t>新增固定资产。</w:t>
      </w:r>
    </w:p>
    <w:p>
      <w:pPr>
        <w:spacing w:line="600" w:lineRule="exact"/>
        <w:ind w:firstLine="640" w:firstLineChars="200"/>
        <w:rPr>
          <w:rFonts w:hint="default" w:ascii="仿宋" w:eastAsia="仿宋"/>
          <w:sz w:val="32"/>
          <w:szCs w:val="32"/>
          <w:lang w:val="en-US"/>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901065</wp:posOffset>
            </wp:positionH>
            <wp:positionV relativeFrom="paragraph">
              <wp:posOffset>127000</wp:posOffset>
            </wp:positionV>
            <wp:extent cx="2125980" cy="1595120"/>
            <wp:effectExtent l="5080" t="4445" r="21590" b="19685"/>
            <wp:wrapTight wrapText="bothSides">
              <wp:wrapPolygon>
                <wp:start x="-52" y="-60"/>
                <wp:lineTo x="-52" y="21351"/>
                <wp:lineTo x="21432" y="21351"/>
                <wp:lineTo x="21432" y="-60"/>
                <wp:lineTo x="-52" y="-60"/>
              </wp:wrapPolygon>
            </wp:wrapTight>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pPr>
    </w:p>
    <w:p>
      <w:pPr>
        <w:pStyle w:val="2"/>
        <w:rPr>
          <w:rFonts w:ascii="仿宋" w:eastAsia="仿宋"/>
          <w:sz w:val="32"/>
          <w:szCs w:val="32"/>
        </w:rPr>
      </w:pPr>
    </w:p>
    <w:p>
      <w:pPr>
        <w:pStyle w:val="2"/>
        <w:rPr>
          <w:rFonts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63" w:name="_Toc15377211"/>
      <w:r>
        <w:rPr>
          <w:rFonts w:hint="eastAsia" w:ascii="仿宋" w:eastAsia="仿宋"/>
          <w:b/>
          <w:sz w:val="32"/>
          <w:szCs w:val="32"/>
        </w:rPr>
        <w:t>（二）一般公共预算财政拨款支出决算结构情况</w:t>
      </w:r>
      <w:bookmarkEnd w:id="63"/>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21年一般公共预算财政拨款支出617.61万元，主要用于以下方面</w:t>
      </w:r>
      <w:r>
        <w:rPr>
          <w:rFonts w:ascii="仿宋" w:eastAsia="仿宋"/>
          <w:sz w:val="32"/>
          <w:szCs w:val="32"/>
        </w:rPr>
        <w:t>:</w:t>
      </w:r>
      <w:r>
        <w:rPr>
          <w:rFonts w:hint="eastAsia" w:ascii="仿宋" w:eastAsia="仿宋"/>
          <w:b/>
          <w:bCs/>
          <w:sz w:val="32"/>
          <w:szCs w:val="32"/>
        </w:rPr>
        <w:t>文化旅游体育与传媒（类）</w:t>
      </w:r>
      <w:r>
        <w:rPr>
          <w:rFonts w:hint="eastAsia" w:ascii="仿宋" w:eastAsia="仿宋"/>
          <w:b w:val="0"/>
          <w:bCs w:val="0"/>
          <w:sz w:val="32"/>
          <w:szCs w:val="32"/>
        </w:rPr>
        <w:t>支出</w:t>
      </w:r>
      <w:r>
        <w:rPr>
          <w:rFonts w:hint="eastAsia" w:ascii="仿宋" w:eastAsia="仿宋"/>
          <w:b/>
          <w:bCs/>
          <w:sz w:val="32"/>
          <w:szCs w:val="32"/>
          <w:lang w:val="en-US" w:eastAsia="zh-CN"/>
        </w:rPr>
        <w:t>531.55</w:t>
      </w:r>
      <w:r>
        <w:rPr>
          <w:rFonts w:hint="eastAsia" w:ascii="仿宋" w:eastAsia="仿宋"/>
          <w:b/>
          <w:bCs/>
          <w:sz w:val="32"/>
          <w:szCs w:val="32"/>
        </w:rPr>
        <w:t>万元，占</w:t>
      </w:r>
      <w:r>
        <w:rPr>
          <w:rFonts w:hint="eastAsia" w:ascii="仿宋" w:eastAsia="仿宋"/>
          <w:b/>
          <w:bCs/>
          <w:sz w:val="32"/>
          <w:szCs w:val="32"/>
          <w:lang w:val="en-US" w:eastAsia="zh-CN"/>
        </w:rPr>
        <w:t>86.06</w:t>
      </w:r>
      <w:r>
        <w:rPr>
          <w:rFonts w:ascii="仿宋" w:eastAsia="仿宋"/>
          <w:b/>
          <w:bCs/>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38.78</w:t>
      </w:r>
      <w:r>
        <w:rPr>
          <w:rFonts w:hint="eastAsia" w:ascii="仿宋" w:eastAsia="仿宋"/>
          <w:sz w:val="32"/>
          <w:szCs w:val="32"/>
        </w:rPr>
        <w:t>万元，占</w:t>
      </w:r>
      <w:r>
        <w:rPr>
          <w:rFonts w:hint="eastAsia" w:ascii="仿宋" w:eastAsia="仿宋"/>
          <w:sz w:val="32"/>
          <w:szCs w:val="32"/>
          <w:lang w:val="en-US" w:eastAsia="zh-CN"/>
        </w:rPr>
        <w:t>6.28</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w:t>
      </w:r>
      <w:r>
        <w:rPr>
          <w:rFonts w:hint="eastAsia" w:ascii="仿宋" w:eastAsia="仿宋"/>
          <w:b w:val="0"/>
          <w:bCs w:val="0"/>
          <w:sz w:val="32"/>
          <w:szCs w:val="32"/>
        </w:rPr>
        <w:t>支出</w:t>
      </w:r>
      <w:r>
        <w:rPr>
          <w:rFonts w:hint="eastAsia" w:ascii="仿宋" w:eastAsia="仿宋"/>
          <w:sz w:val="32"/>
          <w:szCs w:val="32"/>
          <w:lang w:val="en-US" w:eastAsia="zh-CN"/>
        </w:rPr>
        <w:t>17.16</w:t>
      </w:r>
      <w:r>
        <w:rPr>
          <w:rFonts w:hint="eastAsia" w:ascii="仿宋" w:eastAsia="仿宋"/>
          <w:sz w:val="32"/>
          <w:szCs w:val="32"/>
        </w:rPr>
        <w:t>万元，占</w:t>
      </w:r>
      <w:r>
        <w:rPr>
          <w:rFonts w:hint="eastAsia" w:ascii="仿宋" w:eastAsia="仿宋"/>
          <w:sz w:val="32"/>
          <w:szCs w:val="32"/>
          <w:lang w:val="en-US" w:eastAsia="zh-CN"/>
        </w:rPr>
        <w:t>2.78</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w:t>
      </w:r>
      <w:r>
        <w:rPr>
          <w:rFonts w:hint="eastAsia" w:ascii="仿宋" w:eastAsia="仿宋"/>
          <w:sz w:val="32"/>
          <w:szCs w:val="32"/>
        </w:rPr>
        <w:t>支出</w:t>
      </w:r>
      <w:r>
        <w:rPr>
          <w:rFonts w:hint="eastAsia" w:ascii="仿宋" w:eastAsia="仿宋"/>
          <w:sz w:val="32"/>
          <w:szCs w:val="32"/>
          <w:lang w:val="en-US" w:eastAsia="zh-CN"/>
        </w:rPr>
        <w:t>30.12</w:t>
      </w:r>
      <w:r>
        <w:rPr>
          <w:rFonts w:hint="eastAsia" w:ascii="仿宋" w:eastAsia="仿宋"/>
          <w:sz w:val="32"/>
          <w:szCs w:val="32"/>
        </w:rPr>
        <w:t>万元，占</w:t>
      </w:r>
      <w:r>
        <w:rPr>
          <w:rFonts w:hint="eastAsia" w:ascii="仿宋" w:eastAsia="仿宋"/>
          <w:sz w:val="32"/>
          <w:szCs w:val="32"/>
          <w:lang w:val="en-US" w:eastAsia="zh-CN"/>
        </w:rPr>
        <w:t>4.88</w:t>
      </w:r>
      <w:r>
        <w:rPr>
          <w:rFonts w:ascii="仿宋" w:eastAsia="仿宋"/>
          <w:sz w:val="32"/>
          <w:szCs w:val="32"/>
        </w:rPr>
        <w:t>%</w:t>
      </w:r>
      <w:r>
        <w:rPr>
          <w:rFonts w:hint="eastAsia" w:ascii="仿宋" w:eastAsia="仿宋"/>
          <w:sz w:val="32"/>
          <w:szCs w:val="32"/>
        </w:rPr>
        <w:t>。</w:t>
      </w:r>
    </w:p>
    <w:p>
      <w:pPr>
        <w:spacing w:line="600" w:lineRule="exact"/>
        <w:ind w:firstLine="640"/>
        <w:rPr>
          <w:rFonts w:ascii="仿宋" w:eastAsia="仿宋"/>
          <w:b/>
          <w:sz w:val="32"/>
          <w:szCs w:val="32"/>
        </w:rPr>
      </w:pPr>
      <w:r>
        <w:rPr>
          <w:rFonts w:hint="eastAsia" w:ascii="仿宋" w:eastAsia="仿宋"/>
          <w:b/>
          <w:sz w:val="32"/>
          <w:szCs w:val="32"/>
        </w:rPr>
        <w:t>（注：数据来源于财决01-1表，仅罗列本部门涉及的全部功能分类科目，至类级。）</w:t>
      </w:r>
    </w:p>
    <w:p>
      <w:pPr>
        <w:spacing w:line="600" w:lineRule="exact"/>
        <w:ind w:firstLine="640"/>
        <w:rPr>
          <w:rFonts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64384" behindDoc="1" locked="0" layoutInCell="1" allowOverlap="1">
            <wp:simplePos x="0" y="0"/>
            <wp:positionH relativeFrom="column">
              <wp:posOffset>1090930</wp:posOffset>
            </wp:positionH>
            <wp:positionV relativeFrom="paragraph">
              <wp:posOffset>268605</wp:posOffset>
            </wp:positionV>
            <wp:extent cx="2346960" cy="1760220"/>
            <wp:effectExtent l="4445" t="4445" r="10795" b="6985"/>
            <wp:wrapTight wrapText="bothSides">
              <wp:wrapPolygon>
                <wp:start x="-41" y="-55"/>
                <wp:lineTo x="-41" y="21452"/>
                <wp:lineTo x="21524" y="21452"/>
                <wp:lineTo x="21524" y="-55"/>
                <wp:lineTo x="-41" y="-55"/>
              </wp:wrapPolygon>
            </wp:wrapTight>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rPr>
          <w:rFonts w:ascii="仿宋" w:eastAsia="仿宋"/>
          <w:sz w:val="32"/>
          <w:szCs w:val="32"/>
        </w:rPr>
      </w:pPr>
    </w:p>
    <w:p>
      <w:pPr>
        <w:pStyle w:val="2"/>
        <w:rPr>
          <w:rFonts w:ascii="仿宋" w:eastAsia="仿宋"/>
          <w:sz w:val="32"/>
          <w:szCs w:val="32"/>
        </w:rPr>
      </w:pPr>
    </w:p>
    <w:p>
      <w:pPr>
        <w:pStyle w:val="2"/>
        <w:rPr>
          <w:rFonts w:ascii="仿宋" w:eastAsia="仿宋"/>
          <w:sz w:val="32"/>
          <w:szCs w:val="32"/>
        </w:rPr>
      </w:pPr>
    </w:p>
    <w:p>
      <w:pPr>
        <w:spacing w:line="600" w:lineRule="exact"/>
        <w:ind w:firstLine="640" w:firstLineChars="200"/>
        <w:rPr>
          <w:rFonts w:hint="eastAsia"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64" w:name="_Toc15377212"/>
      <w:r>
        <w:rPr>
          <w:rFonts w:hint="eastAsia" w:ascii="仿宋" w:eastAsia="仿宋"/>
          <w:b/>
          <w:sz w:val="32"/>
          <w:szCs w:val="32"/>
        </w:rPr>
        <w:t>（三）一般公共预算财政拨款支出决算具体情况</w:t>
      </w:r>
      <w:bookmarkEnd w:id="64"/>
    </w:p>
    <w:p>
      <w:pPr>
        <w:spacing w:line="600" w:lineRule="exact"/>
        <w:ind w:firstLine="643" w:firstLineChars="200"/>
        <w:outlineLvl w:val="1"/>
        <w:rPr>
          <w:rFonts w:ascii="仿宋" w:eastAsia="仿宋"/>
          <w:sz w:val="32"/>
          <w:szCs w:val="32"/>
        </w:rPr>
      </w:pPr>
      <w:bookmarkStart w:id="65" w:name="_Toc15378460"/>
      <w:bookmarkStart w:id="66" w:name="_Toc15377444"/>
      <w:bookmarkStart w:id="67" w:name="_Toc15377213"/>
      <w:bookmarkStart w:id="68" w:name="_Toc23911"/>
      <w:r>
        <w:rPr>
          <w:rFonts w:hint="eastAsia" w:ascii="仿宋" w:eastAsia="仿宋"/>
          <w:b/>
          <w:sz w:val="32"/>
          <w:szCs w:val="32"/>
        </w:rPr>
        <w:t>2021年一般公共预算支出决算数为617.61</w:t>
      </w:r>
      <w:r>
        <w:rPr>
          <w:rFonts w:hint="eastAsia" w:ascii="仿宋" w:eastAsia="仿宋"/>
          <w:sz w:val="32"/>
          <w:szCs w:val="32"/>
        </w:rPr>
        <w:t>，</w:t>
      </w:r>
      <w:r>
        <w:rPr>
          <w:rStyle w:val="14"/>
          <w:rFonts w:hint="eastAsia" w:ascii="仿宋" w:eastAsia="仿宋"/>
          <w:bCs/>
          <w:sz w:val="32"/>
          <w:szCs w:val="32"/>
        </w:rPr>
        <w:t>完成预算</w:t>
      </w:r>
      <w:r>
        <w:rPr>
          <w:rStyle w:val="14"/>
          <w:rFonts w:hint="eastAsia" w:ascii="仿宋" w:eastAsia="仿宋"/>
          <w:bCs/>
          <w:sz w:val="32"/>
          <w:szCs w:val="32"/>
          <w:lang w:val="en-US" w:eastAsia="zh-CN"/>
        </w:rPr>
        <w:t>100</w:t>
      </w:r>
      <w:r>
        <w:rPr>
          <w:rStyle w:val="14"/>
          <w:rFonts w:ascii="仿宋" w:eastAsia="仿宋"/>
          <w:bCs/>
          <w:sz w:val="32"/>
          <w:szCs w:val="32"/>
        </w:rPr>
        <w:t>%</w:t>
      </w:r>
      <w:r>
        <w:rPr>
          <w:rStyle w:val="14"/>
          <w:rFonts w:hint="eastAsia" w:ascii="仿宋" w:eastAsia="仿宋"/>
          <w:bCs/>
          <w:sz w:val="32"/>
          <w:szCs w:val="32"/>
        </w:rPr>
        <w:t>。其中：</w:t>
      </w:r>
      <w:bookmarkEnd w:id="65"/>
      <w:bookmarkEnd w:id="66"/>
      <w:bookmarkEnd w:id="67"/>
      <w:bookmarkEnd w:id="68"/>
    </w:p>
    <w:p>
      <w:pPr>
        <w:spacing w:line="600" w:lineRule="exact"/>
        <w:ind w:firstLine="643" w:firstLineChars="200"/>
        <w:rPr>
          <w:rFonts w:ascii="仿宋" w:eastAsia="仿宋"/>
          <w:b/>
          <w:sz w:val="32"/>
          <w:szCs w:val="32"/>
        </w:rPr>
      </w:pPr>
      <w:r>
        <w:rPr>
          <w:rStyle w:val="14"/>
          <w:rFonts w:ascii="仿宋" w:eastAsia="仿宋"/>
          <w:bCs/>
          <w:sz w:val="32"/>
          <w:szCs w:val="32"/>
        </w:rPr>
        <w:t>1.</w:t>
      </w:r>
      <w:r>
        <w:rPr>
          <w:rStyle w:val="14"/>
          <w:rFonts w:hint="eastAsia" w:ascii="仿宋" w:eastAsia="仿宋"/>
          <w:bCs/>
          <w:sz w:val="32"/>
          <w:szCs w:val="32"/>
        </w:rPr>
        <w:t>文化旅游体育与传媒</w:t>
      </w:r>
      <w:r>
        <w:rPr>
          <w:rStyle w:val="14"/>
          <w:rFonts w:hint="eastAsia" w:ascii="仿宋" w:eastAsia="仿宋"/>
          <w:bCs/>
          <w:sz w:val="32"/>
          <w:szCs w:val="32"/>
          <w:lang w:val="en-US" w:eastAsia="zh-CN"/>
        </w:rPr>
        <w:t>207</w:t>
      </w:r>
      <w:r>
        <w:rPr>
          <w:rStyle w:val="14"/>
          <w:rFonts w:hint="eastAsia" w:ascii="仿宋" w:eastAsia="仿宋"/>
          <w:bCs/>
          <w:sz w:val="32"/>
          <w:szCs w:val="32"/>
        </w:rPr>
        <w:t>（类）</w:t>
      </w:r>
      <w:r>
        <w:rPr>
          <w:rStyle w:val="14"/>
          <w:rFonts w:hint="eastAsia" w:ascii="仿宋" w:eastAsia="仿宋"/>
          <w:bCs/>
          <w:sz w:val="32"/>
          <w:szCs w:val="32"/>
          <w:lang w:val="en-US" w:eastAsia="zh-CN"/>
        </w:rPr>
        <w:t>06</w:t>
      </w:r>
      <w:r>
        <w:rPr>
          <w:rStyle w:val="14"/>
          <w:rFonts w:hint="eastAsia" w:ascii="仿宋" w:eastAsia="仿宋"/>
          <w:bCs/>
          <w:sz w:val="32"/>
          <w:szCs w:val="32"/>
        </w:rPr>
        <w:t>（款）</w:t>
      </w:r>
      <w:r>
        <w:rPr>
          <w:rStyle w:val="14"/>
          <w:rFonts w:hint="eastAsia" w:ascii="仿宋" w:eastAsia="仿宋"/>
          <w:bCs/>
          <w:sz w:val="32"/>
          <w:szCs w:val="32"/>
          <w:lang w:val="en-US" w:eastAsia="zh-CN"/>
        </w:rPr>
        <w:t>05</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Fonts w:hint="eastAsia" w:ascii="仿宋" w:eastAsia="仿宋"/>
          <w:b/>
          <w:bCs/>
          <w:sz w:val="32"/>
          <w:szCs w:val="32"/>
          <w:lang w:val="en-US" w:eastAsia="zh-CN"/>
        </w:rPr>
        <w:t>531.55</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Fonts w:ascii="仿宋" w:eastAsia="仿宋"/>
          <w:b/>
          <w:sz w:val="32"/>
          <w:szCs w:val="32"/>
        </w:rPr>
      </w:pPr>
      <w:r>
        <w:rPr>
          <w:rStyle w:val="14"/>
          <w:rFonts w:ascii="仿宋" w:eastAsia="仿宋"/>
          <w:bCs/>
          <w:sz w:val="32"/>
          <w:szCs w:val="32"/>
        </w:rPr>
        <w:t>2.</w:t>
      </w:r>
      <w:r>
        <w:rPr>
          <w:rStyle w:val="14"/>
          <w:rFonts w:hint="eastAsia" w:ascii="仿宋" w:eastAsia="仿宋"/>
          <w:bCs/>
          <w:sz w:val="32"/>
          <w:szCs w:val="32"/>
        </w:rPr>
        <w:t>社会保障和就业</w:t>
      </w:r>
      <w:r>
        <w:rPr>
          <w:rStyle w:val="14"/>
          <w:rFonts w:hint="eastAsia" w:ascii="仿宋" w:eastAsia="仿宋"/>
          <w:bCs/>
          <w:sz w:val="32"/>
          <w:szCs w:val="32"/>
          <w:lang w:val="en-US" w:eastAsia="zh-CN"/>
        </w:rPr>
        <w:t>208</w:t>
      </w:r>
      <w:r>
        <w:rPr>
          <w:rStyle w:val="14"/>
          <w:rFonts w:hint="eastAsia" w:ascii="仿宋" w:eastAsia="仿宋"/>
          <w:bCs/>
          <w:sz w:val="32"/>
          <w:szCs w:val="32"/>
        </w:rPr>
        <w:t>（类）</w:t>
      </w:r>
      <w:r>
        <w:rPr>
          <w:rStyle w:val="14"/>
          <w:rFonts w:hint="eastAsia" w:ascii="仿宋" w:eastAsia="仿宋"/>
          <w:bCs/>
          <w:sz w:val="32"/>
          <w:szCs w:val="32"/>
          <w:lang w:val="en-US" w:eastAsia="zh-CN"/>
        </w:rPr>
        <w:t>05</w:t>
      </w:r>
      <w:r>
        <w:rPr>
          <w:rStyle w:val="14"/>
          <w:rFonts w:hint="eastAsia" w:ascii="仿宋" w:eastAsia="仿宋"/>
          <w:bCs/>
          <w:sz w:val="32"/>
          <w:szCs w:val="32"/>
        </w:rPr>
        <w:t>（款）</w:t>
      </w:r>
      <w:r>
        <w:rPr>
          <w:rStyle w:val="14"/>
          <w:rFonts w:hint="eastAsia" w:ascii="仿宋" w:eastAsia="仿宋"/>
          <w:bCs/>
          <w:sz w:val="32"/>
          <w:szCs w:val="32"/>
          <w:lang w:val="en-US" w:eastAsia="zh-CN"/>
        </w:rPr>
        <w:t>05、06</w:t>
      </w:r>
      <w:r>
        <w:rPr>
          <w:rStyle w:val="14"/>
          <w:rFonts w:hint="eastAsia" w:ascii="仿宋" w:eastAsia="仿宋"/>
          <w:bCs/>
          <w:sz w:val="32"/>
          <w:szCs w:val="32"/>
        </w:rPr>
        <w:t>（项）</w:t>
      </w:r>
      <w:r>
        <w:rPr>
          <w:rStyle w:val="14"/>
          <w:rFonts w:ascii="仿宋" w:eastAsia="仿宋"/>
          <w:bCs/>
          <w:sz w:val="32"/>
          <w:szCs w:val="32"/>
        </w:rPr>
        <w:t>:</w:t>
      </w:r>
      <w:r>
        <w:rPr>
          <w:rStyle w:val="14"/>
          <w:rFonts w:ascii="仿宋" w:eastAsia="仿宋"/>
          <w:b w:val="0"/>
          <w:bCs/>
          <w:sz w:val="32"/>
          <w:szCs w:val="32"/>
        </w:rPr>
        <w:t xml:space="preserve"> </w:t>
      </w:r>
      <w:r>
        <w:rPr>
          <w:rStyle w:val="14"/>
          <w:rFonts w:hint="eastAsia" w:ascii="仿宋" w:eastAsia="仿宋"/>
          <w:b w:val="0"/>
          <w:bCs/>
          <w:sz w:val="32"/>
          <w:szCs w:val="32"/>
        </w:rPr>
        <w:t>支出决算为</w:t>
      </w:r>
      <w:r>
        <w:rPr>
          <w:rFonts w:hint="eastAsia" w:ascii="仿宋" w:eastAsia="仿宋"/>
          <w:sz w:val="32"/>
          <w:szCs w:val="32"/>
          <w:lang w:val="en-US" w:eastAsia="zh-CN"/>
        </w:rPr>
        <w:t>38.78</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Fonts w:ascii="仿宋" w:eastAsia="仿宋"/>
          <w:b/>
          <w:sz w:val="32"/>
          <w:szCs w:val="32"/>
        </w:rPr>
      </w:pPr>
      <w:r>
        <w:rPr>
          <w:rStyle w:val="14"/>
          <w:rFonts w:ascii="仿宋" w:eastAsia="仿宋"/>
          <w:bCs/>
          <w:sz w:val="32"/>
          <w:szCs w:val="32"/>
        </w:rPr>
        <w:t>3.</w:t>
      </w:r>
      <w:r>
        <w:rPr>
          <w:rFonts w:hint="eastAsia" w:ascii="仿宋" w:eastAsia="仿宋"/>
          <w:b/>
          <w:bCs/>
          <w:sz w:val="32"/>
          <w:szCs w:val="32"/>
        </w:rPr>
        <w:t>卫生健康</w:t>
      </w:r>
      <w:r>
        <w:rPr>
          <w:rFonts w:hint="eastAsia" w:ascii="仿宋" w:eastAsia="仿宋"/>
          <w:b/>
          <w:bCs/>
          <w:sz w:val="32"/>
          <w:szCs w:val="32"/>
          <w:lang w:val="en-US" w:eastAsia="zh-CN"/>
        </w:rPr>
        <w:t>210</w:t>
      </w:r>
      <w:r>
        <w:rPr>
          <w:rStyle w:val="14"/>
          <w:rFonts w:hint="eastAsia" w:ascii="仿宋" w:eastAsia="仿宋"/>
          <w:bCs/>
          <w:sz w:val="32"/>
          <w:szCs w:val="32"/>
        </w:rPr>
        <w:t>（类）</w:t>
      </w:r>
      <w:r>
        <w:rPr>
          <w:rStyle w:val="14"/>
          <w:rFonts w:hint="eastAsia" w:ascii="仿宋" w:eastAsia="仿宋"/>
          <w:bCs/>
          <w:sz w:val="32"/>
          <w:szCs w:val="32"/>
          <w:lang w:val="en-US" w:eastAsia="zh-CN"/>
        </w:rPr>
        <w:t>11</w:t>
      </w:r>
      <w:r>
        <w:rPr>
          <w:rStyle w:val="14"/>
          <w:rFonts w:hint="eastAsia" w:ascii="仿宋" w:eastAsia="仿宋"/>
          <w:bCs/>
          <w:sz w:val="32"/>
          <w:szCs w:val="32"/>
        </w:rPr>
        <w:t>（款）</w:t>
      </w:r>
      <w:r>
        <w:rPr>
          <w:rStyle w:val="14"/>
          <w:rFonts w:hint="eastAsia" w:ascii="仿宋" w:eastAsia="仿宋"/>
          <w:bCs/>
          <w:sz w:val="32"/>
          <w:szCs w:val="32"/>
          <w:lang w:val="en-US" w:eastAsia="zh-CN"/>
        </w:rPr>
        <w:t>02、99</w:t>
      </w:r>
      <w:r>
        <w:rPr>
          <w:rStyle w:val="14"/>
          <w:rFonts w:hint="eastAsia" w:ascii="仿宋" w:eastAsia="仿宋"/>
          <w:bCs/>
          <w:sz w:val="32"/>
          <w:szCs w:val="32"/>
        </w:rPr>
        <w:t>（项）</w:t>
      </w:r>
      <w:r>
        <w:rPr>
          <w:rStyle w:val="14"/>
          <w:rFonts w:ascii="仿宋" w:eastAsia="仿宋"/>
          <w:bCs/>
          <w:sz w:val="32"/>
          <w:szCs w:val="32"/>
        </w:rPr>
        <w:t>:</w:t>
      </w:r>
      <w:r>
        <w:rPr>
          <w:rStyle w:val="14"/>
          <w:rFonts w:hint="eastAsia" w:ascii="仿宋" w:eastAsia="仿宋"/>
          <w:b w:val="0"/>
          <w:bCs/>
          <w:sz w:val="32"/>
          <w:szCs w:val="32"/>
        </w:rPr>
        <w:t>支出决算为</w:t>
      </w:r>
      <w:r>
        <w:rPr>
          <w:rStyle w:val="14"/>
          <w:rFonts w:hint="eastAsia" w:ascii="仿宋" w:eastAsia="仿宋"/>
          <w:b w:val="0"/>
          <w:bCs/>
          <w:sz w:val="32"/>
          <w:szCs w:val="32"/>
          <w:lang w:val="en-US" w:eastAsia="zh-CN"/>
        </w:rPr>
        <w:t>17.16</w:t>
      </w:r>
      <w:r>
        <w:rPr>
          <w:rStyle w:val="14"/>
          <w:rFonts w:hint="eastAsia" w:ascii="仿宋" w:eastAsia="仿宋"/>
          <w:b w:val="0"/>
          <w:bCs/>
          <w:sz w:val="32"/>
          <w:szCs w:val="32"/>
        </w:rPr>
        <w:t>万元，完成预算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，决算数等于预算数。</w:t>
      </w:r>
    </w:p>
    <w:p>
      <w:pPr>
        <w:spacing w:line="600" w:lineRule="exact"/>
        <w:ind w:firstLine="643" w:firstLineChars="200"/>
        <w:rPr>
          <w:rFonts w:ascii="仿宋" w:eastAsia="仿宋"/>
          <w:b/>
          <w:sz w:val="32"/>
          <w:szCs w:val="32"/>
        </w:rPr>
      </w:pPr>
      <w:r>
        <w:rPr>
          <w:rStyle w:val="14"/>
          <w:rFonts w:ascii="仿宋" w:eastAsia="仿宋"/>
          <w:bCs/>
          <w:sz w:val="32"/>
          <w:szCs w:val="32"/>
        </w:rPr>
        <w:t>4.</w:t>
      </w:r>
      <w:r>
        <w:rPr>
          <w:rFonts w:hint="eastAsia" w:ascii="仿宋" w:eastAsia="仿宋"/>
          <w:b/>
          <w:bCs/>
          <w:sz w:val="32"/>
          <w:szCs w:val="32"/>
        </w:rPr>
        <w:t>住房保障</w:t>
      </w:r>
      <w:r>
        <w:rPr>
          <w:rFonts w:hint="eastAsia" w:ascii="仿宋" w:eastAsia="仿宋"/>
          <w:b/>
          <w:bCs/>
          <w:sz w:val="32"/>
          <w:szCs w:val="32"/>
          <w:lang w:val="en-US" w:eastAsia="zh-CN"/>
        </w:rPr>
        <w:t>221</w:t>
      </w:r>
      <w:r>
        <w:rPr>
          <w:rStyle w:val="14"/>
          <w:rFonts w:hint="eastAsia" w:ascii="仿宋" w:eastAsia="仿宋"/>
          <w:bCs/>
          <w:sz w:val="32"/>
          <w:szCs w:val="32"/>
        </w:rPr>
        <w:t>（类）</w:t>
      </w:r>
      <w:r>
        <w:rPr>
          <w:rStyle w:val="14"/>
          <w:rFonts w:hint="eastAsia" w:ascii="仿宋" w:eastAsia="仿宋"/>
          <w:bCs/>
          <w:sz w:val="32"/>
          <w:szCs w:val="32"/>
          <w:lang w:val="en-US" w:eastAsia="zh-CN"/>
        </w:rPr>
        <w:t>02</w:t>
      </w:r>
      <w:r>
        <w:rPr>
          <w:rStyle w:val="14"/>
          <w:rFonts w:hint="eastAsia" w:ascii="仿宋" w:eastAsia="仿宋"/>
          <w:bCs/>
          <w:sz w:val="32"/>
          <w:szCs w:val="32"/>
        </w:rPr>
        <w:t>（款）</w:t>
      </w:r>
      <w:r>
        <w:rPr>
          <w:rStyle w:val="14"/>
          <w:rFonts w:hint="eastAsia" w:ascii="仿宋" w:eastAsia="仿宋"/>
          <w:bCs/>
          <w:sz w:val="32"/>
          <w:szCs w:val="32"/>
          <w:lang w:val="en-US" w:eastAsia="zh-CN"/>
        </w:rPr>
        <w:t>01</w:t>
      </w:r>
      <w:r>
        <w:rPr>
          <w:rStyle w:val="14"/>
          <w:rFonts w:hint="eastAsia" w:ascii="仿宋" w:eastAsia="仿宋"/>
          <w:bCs/>
          <w:sz w:val="32"/>
          <w:szCs w:val="32"/>
        </w:rPr>
        <w:t>（项）</w:t>
      </w:r>
      <w:r>
        <w:rPr>
          <w:rStyle w:val="14"/>
          <w:rFonts w:ascii="仿宋" w:eastAsia="仿宋"/>
          <w:bCs/>
          <w:sz w:val="32"/>
          <w:szCs w:val="32"/>
        </w:rPr>
        <w:t>:</w:t>
      </w:r>
      <w:r>
        <w:rPr>
          <w:rStyle w:val="14"/>
          <w:rFonts w:hint="eastAsia" w:ascii="仿宋" w:eastAsia="仿宋"/>
          <w:b w:val="0"/>
          <w:bCs/>
          <w:sz w:val="32"/>
          <w:szCs w:val="32"/>
        </w:rPr>
        <w:t>支出决算为</w:t>
      </w:r>
      <w:r>
        <w:rPr>
          <w:rFonts w:hint="eastAsia" w:ascii="仿宋" w:eastAsia="仿宋"/>
          <w:sz w:val="32"/>
          <w:szCs w:val="32"/>
          <w:lang w:val="en-US" w:eastAsia="zh-CN"/>
        </w:rPr>
        <w:t>30.12</w:t>
      </w:r>
      <w:r>
        <w:rPr>
          <w:rFonts w:hint="eastAsia" w:ascii="仿宋" w:eastAsia="仿宋"/>
          <w:sz w:val="32"/>
          <w:szCs w:val="32"/>
        </w:rPr>
        <w:t>万元，</w:t>
      </w:r>
      <w:r>
        <w:rPr>
          <w:rStyle w:val="14"/>
          <w:rFonts w:hint="eastAsia" w:ascii="仿宋" w:eastAsia="仿宋"/>
          <w:b w:val="0"/>
          <w:bCs/>
          <w:sz w:val="32"/>
          <w:szCs w:val="32"/>
        </w:rPr>
        <w:t>完成预算</w:t>
      </w:r>
      <w:r>
        <w:rPr>
          <w:rFonts w:hint="eastAsia" w:ascii="仿宋" w:eastAsia="仿宋"/>
          <w:sz w:val="32"/>
          <w:szCs w:val="32"/>
          <w:highlight w:val="none"/>
          <w:lang w:val="en-US" w:eastAsia="zh-CN"/>
        </w:rPr>
        <w:t>100</w:t>
      </w:r>
      <w:r>
        <w:rPr>
          <w:rFonts w:ascii="仿宋" w:eastAsia="仿宋"/>
          <w:sz w:val="32"/>
          <w:szCs w:val="32"/>
          <w:highlight w:val="none"/>
        </w:rPr>
        <w:t>%</w:t>
      </w:r>
      <w:r>
        <w:rPr>
          <w:rStyle w:val="14"/>
          <w:rFonts w:hint="eastAsia" w:ascii="仿宋" w:eastAsia="仿宋"/>
          <w:b w:val="0"/>
          <w:bCs/>
          <w:sz w:val="32"/>
          <w:szCs w:val="32"/>
        </w:rPr>
        <w:t>，决算数等于预算数。</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1-1表和财决08表，仅罗列本部门涉及的全部功能分类科目，至项级。上述“预算”口径为调整预算数。增减变动原因为决算数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和调整预算数</w:t>
      </w:r>
      <w:r>
        <w:rPr>
          <w:rFonts w:ascii="仿宋" w:eastAsia="仿宋"/>
          <w:b/>
          <w:sz w:val="32"/>
          <w:szCs w:val="32"/>
        </w:rPr>
        <w:t>&lt;</w:t>
      </w:r>
      <w:r>
        <w:rPr>
          <w:rFonts w:hint="eastAsia" w:ascii="仿宋" w:eastAsia="仿宋"/>
          <w:b/>
          <w:sz w:val="32"/>
          <w:szCs w:val="32"/>
        </w:rPr>
        <w:t>项级</w:t>
      </w:r>
      <w:r>
        <w:rPr>
          <w:rFonts w:ascii="仿宋" w:eastAsia="仿宋"/>
          <w:b/>
          <w:sz w:val="32"/>
          <w:szCs w:val="32"/>
        </w:rPr>
        <w:t>&gt;</w:t>
      </w:r>
      <w:r>
        <w:rPr>
          <w:rFonts w:hint="eastAsia" w:ascii="仿宋" w:eastAsia="仿宋"/>
          <w:b/>
          <w:sz w:val="32"/>
          <w:szCs w:val="32"/>
        </w:rPr>
        <w:t>比较，与预算数持平可以不写原因。）</w:t>
      </w:r>
    </w:p>
    <w:p>
      <w:pPr>
        <w:spacing w:line="600" w:lineRule="exact"/>
        <w:ind w:firstLine="640"/>
        <w:rPr>
          <w:rFonts w:ascii="仿宋" w:eastAsia="仿宋"/>
          <w:b/>
          <w:sz w:val="32"/>
          <w:szCs w:val="32"/>
        </w:rPr>
      </w:pPr>
    </w:p>
    <w:p>
      <w:pPr>
        <w:tabs>
          <w:tab w:val="right" w:pos="8306"/>
        </w:tabs>
        <w:spacing w:line="600" w:lineRule="exact"/>
        <w:ind w:firstLine="640"/>
        <w:outlineLvl w:val="1"/>
        <w:rPr>
          <w:rStyle w:val="17"/>
        </w:rPr>
      </w:pPr>
      <w:bookmarkStart w:id="69" w:name="_Toc15377214"/>
      <w:bookmarkStart w:id="70" w:name="_Toc16273"/>
      <w:bookmarkStart w:id="71" w:name="_Toc15396608"/>
      <w:bookmarkStart w:id="72" w:name="_Toc32216"/>
      <w:r>
        <w:rPr>
          <w:rFonts w:hint="eastAsia" w:ascii="黑体" w:eastAsia="黑体"/>
          <w:sz w:val="32"/>
          <w:szCs w:val="32"/>
        </w:rPr>
        <w:t>六</w:t>
      </w:r>
      <w:r>
        <w:rPr>
          <w:rFonts w:hint="eastAsia" w:ascii="黑体" w:eastAsia="黑体"/>
          <w:b/>
          <w:sz w:val="32"/>
          <w:szCs w:val="32"/>
        </w:rPr>
        <w:t>、一</w:t>
      </w:r>
      <w:r>
        <w:rPr>
          <w:rStyle w:val="17"/>
          <w:rFonts w:hint="eastAsia" w:ascii="黑体" w:eastAsia="黑体"/>
          <w:b w:val="0"/>
        </w:rPr>
        <w:t>般公共预算财政拨款基本支出决算情况说明</w:t>
      </w:r>
      <w:bookmarkEnd w:id="69"/>
      <w:bookmarkEnd w:id="70"/>
      <w:bookmarkEnd w:id="71"/>
      <w:bookmarkEnd w:id="72"/>
      <w:r>
        <w:rPr>
          <w:rStyle w:val="17"/>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21年一般公共预算财政拨款基本支出617.61万元，其中：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291.36</w:t>
      </w:r>
      <w:r>
        <w:rPr>
          <w:rFonts w:hint="eastAsia" w:ascii="仿宋" w:eastAsia="仿宋"/>
          <w:sz w:val="32"/>
          <w:szCs w:val="32"/>
        </w:rPr>
        <w:t>万元，主要包括：基本工资、津贴补贴、绩效工资、机关事业单位基本养老保险缴费、职业年金缴费、其他社会保障缴费、生活补助、医疗费补助、住房公积金。</w:t>
      </w:r>
    </w:p>
    <w:p>
      <w:pPr>
        <w:spacing w:line="600" w:lineRule="exact"/>
        <w:ind w:firstLine="645"/>
        <w:rPr>
          <w:rFonts w:ascii="仿宋" w:eastAsia="仿宋"/>
          <w:sz w:val="32"/>
          <w:szCs w:val="32"/>
        </w:rPr>
      </w:pPr>
      <w:r>
        <w:rPr>
          <w:rFonts w:hint="eastAsia" w:ascii="仿宋" w:eastAsia="仿宋"/>
          <w:sz w:val="32"/>
          <w:szCs w:val="32"/>
        </w:rPr>
        <w:t>　　公用经费</w:t>
      </w:r>
      <w:r>
        <w:rPr>
          <w:rFonts w:hint="eastAsia" w:ascii="仿宋" w:eastAsia="仿宋"/>
          <w:sz w:val="32"/>
          <w:szCs w:val="32"/>
          <w:lang w:val="en-US" w:eastAsia="zh-CN"/>
        </w:rPr>
        <w:t>326.25</w:t>
      </w:r>
      <w:r>
        <w:rPr>
          <w:rFonts w:hint="eastAsia" w:ascii="仿宋" w:eastAsia="仿宋"/>
          <w:sz w:val="32"/>
          <w:szCs w:val="32"/>
        </w:rPr>
        <w:t>万元，主要包括：办公费、水费、邮电费、差旅费、维修（护）费、培训费、公务接待费、福利费、公务用车运行维护费、专用</w:t>
      </w:r>
      <w:r>
        <w:rPr>
          <w:rFonts w:hint="eastAsia" w:ascii="仿宋" w:eastAsia="仿宋"/>
          <w:sz w:val="32"/>
          <w:szCs w:val="32"/>
          <w:lang w:eastAsia="zh-CN"/>
        </w:rPr>
        <w:t>材料费</w:t>
      </w:r>
      <w:r>
        <w:rPr>
          <w:rFonts w:hint="eastAsia" w:ascii="仿宋" w:eastAsia="仿宋"/>
          <w:sz w:val="32"/>
          <w:szCs w:val="32"/>
        </w:rPr>
        <w:t>。</w:t>
      </w:r>
    </w:p>
    <w:p>
      <w:pPr>
        <w:spacing w:line="600" w:lineRule="exact"/>
        <w:ind w:firstLine="645"/>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7表和财决08-1表，仅罗列本部门实际支出涉及的经济分类科目。）</w:t>
      </w:r>
    </w:p>
    <w:p>
      <w:pPr>
        <w:spacing w:line="600" w:lineRule="exact"/>
        <w:ind w:firstLine="640"/>
        <w:rPr>
          <w:rFonts w:ascii="仿宋" w:eastAsia="仿宋"/>
          <w:b/>
          <w:sz w:val="32"/>
          <w:szCs w:val="32"/>
        </w:rPr>
      </w:pPr>
    </w:p>
    <w:p>
      <w:pPr>
        <w:spacing w:line="600" w:lineRule="exact"/>
        <w:ind w:firstLine="640"/>
        <w:outlineLvl w:val="1"/>
        <w:rPr>
          <w:rStyle w:val="17"/>
          <w:rFonts w:ascii="黑体" w:eastAsia="黑体"/>
          <w:b w:val="0"/>
        </w:rPr>
      </w:pPr>
      <w:bookmarkStart w:id="73" w:name="_Toc15396609"/>
      <w:bookmarkStart w:id="74" w:name="_Toc11535"/>
      <w:bookmarkStart w:id="75" w:name="_Toc15377215"/>
      <w:bookmarkStart w:id="76" w:name="_Toc5235"/>
      <w:r>
        <w:rPr>
          <w:rFonts w:hint="eastAsia" w:ascii="黑体" w:eastAsia="黑体"/>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73"/>
      <w:bookmarkEnd w:id="74"/>
      <w:bookmarkEnd w:id="75"/>
      <w:bookmarkEnd w:id="76"/>
    </w:p>
    <w:p>
      <w:pPr>
        <w:spacing w:line="600" w:lineRule="exact"/>
        <w:ind w:firstLine="640"/>
        <w:outlineLvl w:val="2"/>
        <w:rPr>
          <w:rFonts w:ascii="仿宋" w:eastAsia="仿宋"/>
          <w:b/>
          <w:sz w:val="32"/>
          <w:szCs w:val="32"/>
        </w:rPr>
      </w:pPr>
      <w:bookmarkStart w:id="77" w:name="_Toc15377216"/>
      <w:r>
        <w:rPr>
          <w:rFonts w:hint="eastAsia" w:ascii="仿宋" w:eastAsia="仿宋"/>
          <w:b/>
          <w:sz w:val="32"/>
          <w:szCs w:val="32"/>
        </w:rPr>
        <w:t>（一）“三公”经费财政拨款支出决算总体情况说明</w:t>
      </w:r>
      <w:bookmarkEnd w:id="77"/>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5.48</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，决算数与预算数持平。</w:t>
      </w:r>
    </w:p>
    <w:p>
      <w:pPr>
        <w:spacing w:line="600" w:lineRule="exact"/>
        <w:ind w:firstLine="640"/>
        <w:rPr>
          <w:rFonts w:ascii="仿宋" w:eastAsia="仿宋"/>
          <w:b/>
          <w:sz w:val="32"/>
          <w:szCs w:val="32"/>
        </w:rPr>
      </w:pPr>
      <w:r>
        <w:rPr>
          <w:rFonts w:hint="eastAsia" w:ascii="仿宋" w:eastAsia="仿宋"/>
          <w:b/>
          <w:sz w:val="32"/>
          <w:szCs w:val="32"/>
        </w:rPr>
        <w:t>（注：上述“预算”口径为调整预算数。）</w:t>
      </w:r>
    </w:p>
    <w:p>
      <w:pPr>
        <w:spacing w:line="600" w:lineRule="exact"/>
        <w:ind w:firstLine="640"/>
        <w:outlineLvl w:val="2"/>
        <w:rPr>
          <w:rFonts w:ascii="仿宋" w:eastAsia="仿宋"/>
          <w:b/>
          <w:sz w:val="32"/>
          <w:szCs w:val="32"/>
        </w:rPr>
      </w:pPr>
      <w:bookmarkStart w:id="78" w:name="_Toc15377217"/>
      <w:r>
        <w:rPr>
          <w:rFonts w:hint="eastAsia" w:ascii="仿宋" w:eastAsia="仿宋"/>
          <w:b/>
          <w:sz w:val="32"/>
          <w:szCs w:val="32"/>
        </w:rPr>
        <w:t>（二）“三公”经费财政拨款支出决算具体情况说明</w:t>
      </w:r>
      <w:bookmarkEnd w:id="78"/>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万元；公务用车购置及运行维护费支出决算</w:t>
      </w:r>
      <w:r>
        <w:rPr>
          <w:rFonts w:hint="eastAsia" w:ascii="仿宋" w:eastAsia="仿宋"/>
          <w:sz w:val="32"/>
          <w:szCs w:val="32"/>
          <w:lang w:val="en-US" w:eastAsia="zh-CN"/>
        </w:rPr>
        <w:t>4.97</w:t>
      </w:r>
      <w:r>
        <w:rPr>
          <w:rFonts w:hint="eastAsia" w:ascii="仿宋" w:eastAsia="仿宋"/>
          <w:sz w:val="32"/>
          <w:szCs w:val="32"/>
        </w:rPr>
        <w:t>万元，占</w:t>
      </w:r>
      <w:r>
        <w:rPr>
          <w:rFonts w:hint="eastAsia" w:ascii="仿宋" w:eastAsia="仿宋"/>
          <w:sz w:val="32"/>
          <w:szCs w:val="32"/>
          <w:lang w:val="en-US" w:eastAsia="zh-CN"/>
        </w:rPr>
        <w:t>90.69</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0.51</w:t>
      </w:r>
      <w:r>
        <w:rPr>
          <w:rFonts w:hint="eastAsia" w:ascii="仿宋" w:eastAsia="仿宋"/>
          <w:sz w:val="32"/>
          <w:szCs w:val="32"/>
        </w:rPr>
        <w:t>万元，占</w:t>
      </w:r>
      <w:r>
        <w:rPr>
          <w:rFonts w:hint="eastAsia" w:ascii="仿宋" w:eastAsia="仿宋"/>
          <w:sz w:val="32"/>
          <w:szCs w:val="32"/>
          <w:lang w:val="en-US" w:eastAsia="zh-CN"/>
        </w:rPr>
        <w:t>9.31</w:t>
      </w:r>
      <w:r>
        <w:rPr>
          <w:rFonts w:ascii="仿宋" w:eastAsia="仿宋"/>
          <w:sz w:val="32"/>
          <w:szCs w:val="32"/>
        </w:rPr>
        <w:t>%</w:t>
      </w:r>
      <w:r>
        <w:rPr>
          <w:rFonts w:hint="eastAsia" w:ascii="仿宋" w:eastAsia="仿宋"/>
          <w:sz w:val="32"/>
          <w:szCs w:val="32"/>
        </w:rPr>
        <w:t>。具体情况如下：</w:t>
      </w:r>
    </w:p>
    <w:p>
      <w:pPr>
        <w:spacing w:line="600" w:lineRule="exact"/>
        <w:ind w:firstLine="640"/>
        <w:rPr>
          <w:rFonts w:hint="eastAsia" w:ascii="仿宋" w:eastAsia="仿宋"/>
          <w:sz w:val="32"/>
          <w:szCs w:val="32"/>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1259840</wp:posOffset>
            </wp:positionH>
            <wp:positionV relativeFrom="paragraph">
              <wp:posOffset>212090</wp:posOffset>
            </wp:positionV>
            <wp:extent cx="2407285" cy="1805940"/>
            <wp:effectExtent l="4445" t="4445" r="7620" b="18415"/>
            <wp:wrapTight wrapText="bothSides">
              <wp:wrapPolygon>
                <wp:start x="-40" y="-53"/>
                <wp:lineTo x="-40" y="21365"/>
                <wp:lineTo x="21497" y="21365"/>
                <wp:lineTo x="21497" y="-53"/>
                <wp:lineTo x="-40" y="-53"/>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spacing w:line="600" w:lineRule="exact"/>
        <w:ind w:firstLine="640"/>
        <w:rPr>
          <w:rFonts w:hint="eastAsia" w:ascii="仿宋" w:eastAsia="仿宋"/>
          <w:sz w:val="32"/>
          <w:szCs w:val="32"/>
        </w:rPr>
      </w:pPr>
      <w:r>
        <w:rPr>
          <w:rFonts w:hint="eastAsia" w:ascii="仿宋" w:eastAsia="仿宋"/>
          <w:sz w:val="32"/>
          <w:szCs w:val="32"/>
        </w:rPr>
        <w:t>（图7：“三公”经费财政拨款支出结构）（饼状图）</w:t>
      </w:r>
    </w:p>
    <w:p>
      <w:pPr>
        <w:pStyle w:val="2"/>
        <w:rPr>
          <w:rFonts w:hint="eastAsia" w:ascii="仿宋" w:eastAsia="仿宋"/>
          <w:sz w:val="32"/>
          <w:szCs w:val="32"/>
        </w:rPr>
      </w:pP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4.97</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0.07</w:t>
      </w:r>
      <w:r>
        <w:rPr>
          <w:rFonts w:hint="eastAsia" w:ascii="仿宋_GB2312" w:eastAsia="仿宋_GB2312"/>
          <w:sz w:val="32"/>
          <w:szCs w:val="32"/>
        </w:rPr>
        <w:t>万元，下降</w:t>
      </w:r>
      <w:r>
        <w:rPr>
          <w:rFonts w:hint="eastAsia" w:ascii="仿宋_GB2312" w:eastAsia="仿宋_GB2312"/>
          <w:sz w:val="32"/>
          <w:szCs w:val="32"/>
          <w:lang w:val="en-US" w:eastAsia="zh-CN"/>
        </w:rPr>
        <w:t>1.39</w:t>
      </w:r>
      <w:r>
        <w:rPr>
          <w:rFonts w:ascii="仿宋_GB2312" w:eastAsia="仿宋_GB2312"/>
          <w:sz w:val="32"/>
          <w:szCs w:val="32"/>
        </w:rPr>
        <w:t>%</w:t>
      </w:r>
      <w:r>
        <w:rPr>
          <w:rFonts w:hint="eastAsia" w:ascii="仿宋_GB2312" w:eastAsia="仿宋_GB2312"/>
          <w:sz w:val="32"/>
          <w:szCs w:val="32"/>
        </w:rPr>
        <w:t>。主要原因是</w:t>
      </w:r>
      <w:r>
        <w:rPr>
          <w:rFonts w:hint="eastAsia" w:ascii="仿宋" w:hAnsi="仿宋" w:eastAsia="仿宋"/>
          <w:color w:val="000000"/>
          <w:sz w:val="32"/>
          <w:szCs w:val="32"/>
          <w:lang w:eastAsia="zh-CN"/>
        </w:rPr>
        <w:t>受新冠疫情影响一般图书销售下降，运行费用下降</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4.97</w:t>
      </w:r>
      <w:r>
        <w:rPr>
          <w:rFonts w:hint="eastAsia" w:ascii="仿宋_GB2312" w:eastAsia="仿宋_GB2312"/>
          <w:sz w:val="32"/>
          <w:szCs w:val="32"/>
        </w:rPr>
        <w:t>万元。主要用于</w:t>
      </w:r>
      <w:r>
        <w:rPr>
          <w:rFonts w:hint="eastAsia" w:ascii="仿宋_GB2312" w:eastAsia="仿宋_GB2312"/>
          <w:color w:val="000000"/>
          <w:sz w:val="32"/>
          <w:szCs w:val="32"/>
          <w:lang w:eastAsia="zh-CN"/>
        </w:rPr>
        <w:t>到各县新华书店调研及指导业务工作，到文轩公司联系业务、开会，“两联一进”到壤塘、阿坝县，“送书下乡”到乡镇，中转站开展业务等</w:t>
      </w:r>
      <w:r>
        <w:rPr>
          <w:rFonts w:hint="eastAsia" w:ascii="仿宋_GB2312" w:eastAsia="仿宋_GB2312"/>
          <w:color w:val="000000"/>
          <w:sz w:val="32"/>
          <w:szCs w:val="32"/>
        </w:rPr>
        <w:t>所需的公务用车燃料费、维修费、过路过桥费、保险费等支出</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0.51</w:t>
      </w:r>
      <w:r>
        <w:rPr>
          <w:rFonts w:hint="eastAsia" w:ascii="仿宋_GB2312" w:eastAsia="仿宋_GB2312"/>
          <w:sz w:val="32"/>
          <w:szCs w:val="32"/>
        </w:rPr>
        <w:t>万元，</w:t>
      </w:r>
      <w:r>
        <w:rPr>
          <w:rStyle w:val="14"/>
          <w:rFonts w:hint="eastAsia" w:ascii="仿宋" w:eastAsia="仿宋"/>
          <w:b w:val="0"/>
          <w:bCs/>
          <w:sz w:val="32"/>
          <w:szCs w:val="32"/>
        </w:rPr>
        <w:t>完成预算</w:t>
      </w:r>
      <w:r>
        <w:rPr>
          <w:rStyle w:val="14"/>
          <w:rFonts w:hint="eastAsia" w:ascii="仿宋" w:eastAsia="仿宋"/>
          <w:b w:val="0"/>
          <w:bCs/>
          <w:sz w:val="32"/>
          <w:szCs w:val="32"/>
          <w:lang w:val="en-US" w:eastAsia="zh-CN"/>
        </w:rPr>
        <w:t>100</w:t>
      </w:r>
      <w:r>
        <w:rPr>
          <w:rStyle w:val="14"/>
          <w:rFonts w:ascii="仿宋" w:eastAsia="仿宋"/>
          <w:b w:val="0"/>
          <w:bCs/>
          <w:sz w:val="32"/>
          <w:szCs w:val="32"/>
        </w:rPr>
        <w:t>%</w:t>
      </w:r>
      <w:r>
        <w:rPr>
          <w:rStyle w:val="14"/>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0.26</w:t>
      </w:r>
      <w:r>
        <w:rPr>
          <w:rFonts w:hint="eastAsia" w:ascii="仿宋_GB2312" w:eastAsia="仿宋_GB2312"/>
          <w:sz w:val="32"/>
          <w:szCs w:val="32"/>
        </w:rPr>
        <w:t>万元，增长</w:t>
      </w:r>
      <w:r>
        <w:rPr>
          <w:rFonts w:hint="eastAsia" w:ascii="仿宋_GB2312" w:eastAsia="仿宋_GB2312"/>
          <w:sz w:val="32"/>
          <w:szCs w:val="32"/>
          <w:highlight w:val="none"/>
          <w:lang w:val="en-US" w:eastAsia="zh-CN"/>
        </w:rPr>
        <w:t>104.00</w:t>
      </w:r>
      <w:r>
        <w:rPr>
          <w:rFonts w:ascii="仿宋_GB2312" w:eastAsia="仿宋_GB2312"/>
          <w:sz w:val="32"/>
          <w:szCs w:val="32"/>
          <w:highlight w:val="none"/>
        </w:rPr>
        <w:t>%</w:t>
      </w:r>
      <w:r>
        <w:rPr>
          <w:rFonts w:hint="eastAsia" w:ascii="仿宋_GB2312" w:eastAsia="仿宋_GB2312"/>
          <w:sz w:val="32"/>
          <w:szCs w:val="32"/>
        </w:rPr>
        <w:t>。主要原因是</w:t>
      </w:r>
      <w:r>
        <w:rPr>
          <w:rFonts w:hint="eastAsia" w:ascii="仿宋_GB2312" w:eastAsia="仿宋_GB2312"/>
          <w:sz w:val="32"/>
          <w:szCs w:val="32"/>
          <w:lang w:eastAsia="zh-CN"/>
        </w:rPr>
        <w:t>文轩公司到州内调研活动增多</w:t>
      </w:r>
      <w:r>
        <w:rPr>
          <w:rFonts w:hint="eastAsia" w:ascii="仿宋_GB2312" w:eastAsia="仿宋_GB2312"/>
          <w:sz w:val="32"/>
          <w:szCs w:val="32"/>
        </w:rPr>
        <w:t>。其中：</w:t>
      </w:r>
    </w:p>
    <w:p>
      <w:pPr>
        <w:spacing w:line="600" w:lineRule="exact"/>
        <w:ind w:firstLine="640"/>
        <w:rPr>
          <w:rFonts w:hint="eastAsia"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0.51</w:t>
      </w:r>
      <w:r>
        <w:rPr>
          <w:rFonts w:hint="eastAsia" w:ascii="仿宋_GB2312" w:eastAsia="仿宋_GB2312"/>
          <w:sz w:val="32"/>
          <w:szCs w:val="32"/>
        </w:rPr>
        <w:t>万元，主要用于</w:t>
      </w:r>
      <w:r>
        <w:rPr>
          <w:rFonts w:hint="eastAsia" w:ascii="仿宋_GB2312" w:eastAsia="仿宋_GB2312"/>
          <w:color w:val="000000"/>
          <w:sz w:val="32"/>
          <w:szCs w:val="32"/>
          <w:lang w:eastAsia="zh-CN"/>
        </w:rPr>
        <w:t>文轩公司到我单位调研及开展新业务</w:t>
      </w:r>
      <w:r>
        <w:rPr>
          <w:rFonts w:hint="eastAsia" w:ascii="仿宋_GB2312" w:eastAsia="仿宋_GB2312"/>
          <w:color w:val="000000"/>
          <w:sz w:val="32"/>
          <w:szCs w:val="32"/>
        </w:rPr>
        <w:t>用餐费等</w:t>
      </w:r>
      <w:r>
        <w:rPr>
          <w:rFonts w:hint="eastAsia" w:ascii="仿宋_GB2312" w:eastAsia="仿宋_GB2312"/>
          <w:sz w:val="32"/>
          <w:szCs w:val="32"/>
        </w:rPr>
        <w:t>。国内公务接待</w:t>
      </w:r>
      <w:r>
        <w:rPr>
          <w:rFonts w:hint="eastAsia" w:ascii="仿宋_GB2312" w:eastAsia="仿宋_GB2312"/>
          <w:sz w:val="32"/>
          <w:szCs w:val="32"/>
          <w:lang w:val="en-US" w:eastAsia="zh-CN"/>
        </w:rPr>
        <w:t>5</w:t>
      </w:r>
      <w:r>
        <w:rPr>
          <w:rFonts w:hint="eastAsia" w:ascii="仿宋_GB2312" w:eastAsia="仿宋_GB2312"/>
          <w:sz w:val="32"/>
          <w:szCs w:val="32"/>
        </w:rPr>
        <w:t>批次，</w:t>
      </w:r>
      <w:r>
        <w:rPr>
          <w:rFonts w:hint="eastAsia" w:ascii="仿宋_GB2312" w:eastAsia="仿宋_GB2312"/>
          <w:sz w:val="32"/>
          <w:szCs w:val="32"/>
          <w:highlight w:val="none"/>
          <w:lang w:val="en-US" w:eastAsia="zh-CN"/>
        </w:rPr>
        <w:t>13</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0.51</w:t>
      </w:r>
      <w:r>
        <w:rPr>
          <w:rFonts w:hint="eastAsia" w:ascii="仿宋_GB2312" w:eastAsia="仿宋_GB2312"/>
          <w:sz w:val="32"/>
          <w:szCs w:val="32"/>
        </w:rPr>
        <w:t>万元，具体内容包括：</w:t>
      </w:r>
      <w:r>
        <w:rPr>
          <w:rFonts w:hint="eastAsia" w:ascii="仿宋_GB2312" w:eastAsia="仿宋_GB2312"/>
          <w:color w:val="000000"/>
          <w:sz w:val="32"/>
          <w:szCs w:val="32"/>
          <w:lang w:eastAsia="zh-CN"/>
        </w:rPr>
        <w:t>文轩公司到我单位开展</w:t>
      </w:r>
      <w:r>
        <w:rPr>
          <w:rFonts w:hint="eastAsia" w:ascii="仿宋_GB2312" w:eastAsia="仿宋_GB2312"/>
          <w:sz w:val="32"/>
          <w:szCs w:val="32"/>
        </w:rPr>
        <w:t>“校园阅读、学党史、思想教育、走长征”主题活动</w:t>
      </w:r>
      <w:r>
        <w:rPr>
          <w:rFonts w:hint="eastAsia" w:ascii="仿宋_GB2312" w:eastAsia="仿宋_GB2312"/>
          <w:sz w:val="32"/>
          <w:szCs w:val="32"/>
          <w:lang w:eastAsia="zh-CN"/>
        </w:rPr>
        <w:t>、文轩教育事业部到阿坝州开展调研工作、松潘县新华书店到我单位交流学习</w:t>
      </w:r>
      <w:r>
        <w:rPr>
          <w:rFonts w:hint="eastAsia" w:ascii="仿宋_GB2312" w:eastAsia="仿宋_GB2312"/>
          <w:sz w:val="32"/>
          <w:szCs w:val="32"/>
        </w:rPr>
        <w:t>。</w:t>
      </w:r>
      <w:bookmarkStart w:id="79" w:name="_Toc15396610"/>
      <w:bookmarkStart w:id="80" w:name="_Toc15377218"/>
    </w:p>
    <w:p>
      <w:pPr>
        <w:pStyle w:val="2"/>
      </w:pPr>
    </w:p>
    <w:p>
      <w:pPr>
        <w:spacing w:line="600" w:lineRule="exact"/>
        <w:ind w:firstLine="640"/>
        <w:outlineLvl w:val="1"/>
        <w:rPr>
          <w:rStyle w:val="17"/>
          <w:rFonts w:ascii="黑体" w:eastAsia="黑体"/>
        </w:rPr>
      </w:pPr>
      <w:bookmarkStart w:id="81" w:name="_Toc28987"/>
      <w:bookmarkStart w:id="82" w:name="_Toc3334"/>
      <w:r>
        <w:rPr>
          <w:rFonts w:hint="eastAsia" w:ascii="黑体" w:eastAsia="黑体"/>
          <w:sz w:val="32"/>
          <w:szCs w:val="32"/>
        </w:rPr>
        <w:t>八、</w:t>
      </w:r>
      <w:r>
        <w:rPr>
          <w:rStyle w:val="17"/>
          <w:rFonts w:hint="eastAsia" w:ascii="黑体" w:eastAsia="黑体"/>
          <w:b w:val="0"/>
        </w:rPr>
        <w:t>政府性基金预算支出决算情况说明</w:t>
      </w:r>
      <w:bookmarkEnd w:id="79"/>
      <w:bookmarkEnd w:id="80"/>
      <w:bookmarkEnd w:id="81"/>
      <w:bookmarkEnd w:id="82"/>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2"/>
        </w:numPr>
        <w:spacing w:line="600" w:lineRule="exact"/>
        <w:ind w:firstLine="640"/>
        <w:outlineLvl w:val="1"/>
        <w:rPr>
          <w:rStyle w:val="17"/>
          <w:rFonts w:ascii="黑体" w:eastAsia="黑体"/>
          <w:b w:val="0"/>
        </w:rPr>
      </w:pPr>
      <w:bookmarkStart w:id="83" w:name="_Toc15377219"/>
      <w:bookmarkStart w:id="84" w:name="_Toc21651"/>
      <w:bookmarkStart w:id="85" w:name="_Toc25841"/>
      <w:bookmarkStart w:id="86" w:name="_Toc15396611"/>
      <w:r>
        <w:rPr>
          <w:rStyle w:val="17"/>
          <w:rFonts w:hint="eastAsia" w:ascii="黑体" w:eastAsia="黑体"/>
          <w:b w:val="0"/>
        </w:rPr>
        <w:t>国有资本经营预算支出决算情况说明</w:t>
      </w:r>
      <w:bookmarkEnd w:id="83"/>
      <w:bookmarkEnd w:id="84"/>
      <w:bookmarkEnd w:id="85"/>
      <w:bookmarkEnd w:id="86"/>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2"/>
        </w:numPr>
        <w:spacing w:line="600" w:lineRule="exact"/>
        <w:ind w:firstLine="640"/>
        <w:outlineLvl w:val="1"/>
        <w:rPr>
          <w:rStyle w:val="17"/>
          <w:rFonts w:ascii="黑体" w:eastAsia="黑体"/>
          <w:b w:val="0"/>
        </w:rPr>
      </w:pPr>
      <w:bookmarkStart w:id="87" w:name="_Toc15396612"/>
      <w:bookmarkStart w:id="88" w:name="_Toc25932"/>
      <w:bookmarkStart w:id="89" w:name="_Toc15377221"/>
      <w:bookmarkStart w:id="90" w:name="_Toc26639"/>
      <w:r>
        <w:rPr>
          <w:rStyle w:val="17"/>
          <w:rFonts w:hint="eastAsia" w:ascii="黑体" w:eastAsia="黑体"/>
          <w:b w:val="0"/>
        </w:rPr>
        <w:t>其他重要事项的情况说明</w:t>
      </w:r>
      <w:bookmarkEnd w:id="87"/>
      <w:bookmarkEnd w:id="88"/>
      <w:bookmarkEnd w:id="89"/>
      <w:bookmarkEnd w:id="90"/>
    </w:p>
    <w:p>
      <w:pPr>
        <w:spacing w:line="600" w:lineRule="exact"/>
        <w:ind w:firstLine="643" w:firstLineChars="200"/>
        <w:outlineLvl w:val="2"/>
        <w:rPr>
          <w:rFonts w:ascii="仿宋" w:eastAsia="仿宋"/>
          <w:sz w:val="32"/>
          <w:szCs w:val="32"/>
        </w:rPr>
      </w:pPr>
      <w:bookmarkStart w:id="91" w:name="_Toc15377222"/>
      <w:r>
        <w:rPr>
          <w:rFonts w:hint="eastAsia" w:ascii="仿宋" w:eastAsia="仿宋"/>
          <w:b/>
          <w:sz w:val="32"/>
          <w:szCs w:val="32"/>
        </w:rPr>
        <w:t>（一）机关运行经费支出情况</w:t>
      </w:r>
      <w:bookmarkEnd w:id="91"/>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无</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92" w:name="_Toc15377223"/>
      <w:r>
        <w:rPr>
          <w:rFonts w:hint="eastAsia" w:ascii="仿宋" w:eastAsia="仿宋"/>
          <w:b/>
          <w:sz w:val="32"/>
          <w:szCs w:val="32"/>
        </w:rPr>
        <w:t>（二）政府采购支出情况</w:t>
      </w:r>
      <w:bookmarkEnd w:id="92"/>
    </w:p>
    <w:p>
      <w:pPr>
        <w:spacing w:line="60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无</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93" w:name="_Toc15377224"/>
      <w:r>
        <w:rPr>
          <w:rFonts w:hint="eastAsia" w:ascii="仿宋" w:eastAsia="仿宋"/>
          <w:b/>
          <w:sz w:val="32"/>
          <w:szCs w:val="32"/>
        </w:rPr>
        <w:t>（三）国有资产占有使用情况</w:t>
      </w:r>
      <w:bookmarkEnd w:id="93"/>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我单位</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color w:val="000000"/>
          <w:sz w:val="32"/>
          <w:szCs w:val="32"/>
          <w:lang w:eastAsia="zh-CN"/>
        </w:rPr>
        <w:t>到文轩公司联系业务、开会，“两联一进”到壤塘、阿坝县，“送书下乡”到各乡镇，中转站开展业务等，</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根据预算绩效管理要求，本部门在2021年度预算编制阶段，组织对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个项目开展了绩效自评。同时，本部门对2021年部门整体开展绩效自评，《2021年XX部门整体绩效评价报告》见附件（第四部分）。</w:t>
      </w:r>
    </w:p>
    <w:p>
      <w:pPr>
        <w:spacing w:line="580" w:lineRule="exact"/>
        <w:ind w:firstLine="643" w:firstLineChars="200"/>
        <w:rPr>
          <w:rFonts w:ascii="仿宋_GB2312" w:eastAsia="仿宋_GB2312" w:cs="仿宋_GB2312"/>
          <w:sz w:val="32"/>
          <w:szCs w:val="32"/>
        </w:rPr>
      </w:pPr>
      <w:r>
        <w:rPr>
          <w:rFonts w:hint="eastAsia" w:ascii="仿宋" w:eastAsia="仿宋"/>
          <w:b/>
          <w:sz w:val="32"/>
          <w:szCs w:val="32"/>
        </w:rPr>
        <w:t>（注：单位</w:t>
      </w:r>
      <w:r>
        <w:rPr>
          <w:rFonts w:hint="eastAsia" w:ascii="仿宋_GB2312" w:eastAsia="仿宋_GB2312" w:cs="仿宋_GB2312"/>
          <w:b/>
          <w:sz w:val="32"/>
          <w:szCs w:val="32"/>
        </w:rPr>
        <w:t>2021年特定目标类部门预算项目绩效目标自评表为本部门2021年部门整体支出绩效评价报告中涉及本单位的附表</w:t>
      </w:r>
      <w:r>
        <w:rPr>
          <w:rFonts w:hint="eastAsia" w:ascii="仿宋" w:eastAsia="仿宋"/>
          <w:b/>
          <w:sz w:val="32"/>
          <w:szCs w:val="32"/>
        </w:rPr>
        <w:t>）</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3"/>
        </w:numPr>
        <w:spacing w:line="600" w:lineRule="exact"/>
        <w:ind w:firstLine="660" w:firstLineChars="150"/>
        <w:jc w:val="center"/>
        <w:outlineLvl w:val="0"/>
        <w:rPr>
          <w:rStyle w:val="16"/>
          <w:rFonts w:ascii="黑体" w:eastAsia="黑体"/>
          <w:b w:val="0"/>
        </w:rPr>
      </w:pPr>
      <w:bookmarkStart w:id="94" w:name="_Toc15377225"/>
      <w:bookmarkStart w:id="95" w:name="_Toc15396613"/>
      <w:bookmarkStart w:id="96" w:name="_Toc19311"/>
      <w:bookmarkStart w:id="97" w:name="_Toc10023"/>
      <w:r>
        <w:rPr>
          <w:rFonts w:hint="eastAsia" w:ascii="黑体" w:eastAsia="黑体"/>
          <w:sz w:val="44"/>
          <w:szCs w:val="44"/>
        </w:rPr>
        <w:t>名</w:t>
      </w:r>
      <w:r>
        <w:rPr>
          <w:rStyle w:val="16"/>
          <w:rFonts w:hint="eastAsia" w:ascii="黑体" w:eastAsia="黑体"/>
          <w:b w:val="0"/>
        </w:rPr>
        <w:t>词解释</w:t>
      </w:r>
      <w:bookmarkEnd w:id="94"/>
      <w:bookmarkEnd w:id="95"/>
      <w:bookmarkEnd w:id="96"/>
      <w:bookmarkEnd w:id="97"/>
    </w:p>
    <w:p>
      <w:pPr>
        <w:spacing w:line="600" w:lineRule="exact"/>
        <w:jc w:val="left"/>
        <w:rPr>
          <w:rFonts w:ascii="宋体"/>
          <w:b/>
          <w:sz w:val="44"/>
          <w:szCs w:val="44"/>
        </w:rPr>
      </w:pP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1"/>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1"/>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eastAsia="黑体"/>
          <w:sz w:val="44"/>
          <w:szCs w:val="44"/>
        </w:rPr>
      </w:pPr>
      <w:bookmarkStart w:id="98" w:name="_Toc9975"/>
      <w:bookmarkStart w:id="99" w:name="_Toc9423"/>
      <w:bookmarkStart w:id="100" w:name="_Toc15396614"/>
      <w:bookmarkStart w:id="101" w:name="_Toc15377226"/>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Style w:val="16"/>
          <w:rFonts w:ascii="黑体" w:eastAsia="黑体"/>
          <w:b w:val="0"/>
        </w:rPr>
      </w:pPr>
      <w:bookmarkStart w:id="148" w:name="_GoBack"/>
      <w:bookmarkEnd w:id="148"/>
      <w:r>
        <w:rPr>
          <w:rFonts w:hint="eastAsia" w:ascii="黑体" w:eastAsia="黑体"/>
          <w:sz w:val="44"/>
          <w:szCs w:val="44"/>
        </w:rPr>
        <w:t>第</w:t>
      </w:r>
      <w:r>
        <w:rPr>
          <w:rStyle w:val="16"/>
          <w:rFonts w:hint="eastAsia" w:ascii="黑体" w:eastAsia="黑体"/>
          <w:b w:val="0"/>
        </w:rPr>
        <w:t>四部分 附件</w:t>
      </w:r>
      <w:bookmarkEnd w:id="98"/>
      <w:bookmarkEnd w:id="99"/>
      <w:bookmarkEnd w:id="100"/>
    </w:p>
    <w:p>
      <w:pPr>
        <w:spacing w:line="572" w:lineRule="exact"/>
        <w:jc w:val="left"/>
        <w:outlineLvl w:val="1"/>
        <w:rPr>
          <w:lang w:val="zh-CN"/>
        </w:rPr>
      </w:pPr>
      <w:bookmarkStart w:id="102" w:name="_Toc27888"/>
      <w:bookmarkStart w:id="103" w:name="_Toc14151"/>
      <w:r>
        <w:rPr>
          <w:rFonts w:hint="eastAsia" w:ascii="黑体" w:eastAsia="黑体" w:cs="黑体"/>
          <w:sz w:val="32"/>
          <w:szCs w:val="32"/>
        </w:rPr>
        <w:t>附件</w:t>
      </w:r>
      <w:bookmarkEnd w:id="102"/>
      <w:bookmarkEnd w:id="103"/>
    </w:p>
    <w:tbl>
      <w:tblPr>
        <w:tblStyle w:val="12"/>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7" w:type="dxa"/>
            <w:gridSpan w:val="6"/>
            <w:tcBorders>
              <w:top w:val="nil"/>
              <w:left w:val="nil"/>
              <w:bottom w:val="nil"/>
              <w:right w:val="nil"/>
            </w:tcBorders>
            <w:shd w:val="clear" w:color="auto" w:fill="auto"/>
            <w:noWrap/>
            <w:vAlign w:val="center"/>
          </w:tcPr>
          <w:p>
            <w:pPr>
              <w:widowControl/>
              <w:textAlignment w:val="center"/>
              <w:rPr>
                <w:rFonts w:ascii="宋体" w:cs="宋体"/>
                <w:b/>
                <w:sz w:val="32"/>
                <w:szCs w:val="32"/>
              </w:rPr>
            </w:pPr>
            <w:r>
              <w:rPr>
                <w:rFonts w:hint="eastAsia" w:ascii="宋体" w:cs="宋体"/>
                <w:b/>
                <w:sz w:val="32"/>
                <w:szCs w:val="32"/>
              </w:rPr>
              <w:t>2021年100万元以上（含）特定目标类部门预算项目绩效目标自评</w:t>
            </w:r>
          </w:p>
        </w:tc>
        <w:tc>
          <w:tcPr>
            <w:tcW w:w="234"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4" w:type="dxa"/>
          <w:trHeight w:val="254" w:hRule="atLeast"/>
        </w:trPr>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sz w:val="24"/>
                <w:lang w:eastAsia="zh-CN"/>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项目预算</w:t>
            </w:r>
          </w:p>
          <w:p>
            <w:pPr>
              <w:widowControl/>
              <w:spacing w:line="320" w:lineRule="exact"/>
              <w:jc w:val="center"/>
              <w:textAlignment w:val="center"/>
              <w:rPr>
                <w:rFonts w:hint="eastAsia" w:ascii="宋体" w:eastAsia="宋体" w:cs="宋体"/>
                <w:kern w:val="0"/>
                <w:sz w:val="24"/>
                <w:lang w:eastAsia="zh-CN"/>
              </w:rPr>
            </w:pPr>
            <w:r>
              <w:rPr>
                <w:rFonts w:hint="eastAsia" w:ascii="宋体" w:cs="宋体"/>
                <w:kern w:val="0"/>
                <w:sz w:val="24"/>
              </w:rPr>
              <w:t>执行情况</w:t>
            </w:r>
          </w:p>
          <w:p>
            <w:pPr>
              <w:widowControl/>
              <w:spacing w:line="320" w:lineRule="exact"/>
              <w:jc w:val="center"/>
              <w:textAlignment w:val="center"/>
              <w:rPr>
                <w:rFonts w:ascii="宋体" w:cs="宋体"/>
                <w:sz w:val="24"/>
              </w:rPr>
            </w:pP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hint="default" w:ascii="宋体" w:eastAsia="宋体" w:cs="宋体"/>
                <w:sz w:val="24"/>
                <w:lang w:val="en-US" w:eastAsia="zh-CN"/>
              </w:rPr>
            </w:pPr>
          </w:p>
        </w:tc>
      </w:tr>
      <w:tr>
        <w:tblPrEx>
          <w:tblCellMar>
            <w:top w:w="0" w:type="dxa"/>
            <w:left w:w="108" w:type="dxa"/>
            <w:bottom w:w="0" w:type="dxa"/>
            <w:right w:w="108" w:type="dxa"/>
          </w:tblCellMar>
        </w:tblPrEx>
        <w:trPr>
          <w:gridAfter w:val="1"/>
          <w:wAfter w:w="234" w:type="dxa"/>
          <w:trHeight w:val="555"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p>
        </w:tc>
      </w:tr>
      <w:tr>
        <w:tblPrEx>
          <w:tblCellMar>
            <w:top w:w="0" w:type="dxa"/>
            <w:left w:w="108" w:type="dxa"/>
            <w:bottom w:w="0" w:type="dxa"/>
            <w:right w:w="108" w:type="dxa"/>
          </w:tblCellMar>
        </w:tblPrEx>
        <w:trPr>
          <w:gridAfter w:val="1"/>
          <w:wAfter w:w="234" w:type="dxa"/>
          <w:trHeight w:val="341" w:hRule="atLeast"/>
        </w:trPr>
        <w:tc>
          <w:tcPr>
            <w:tcW w:w="3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4" w:type="dxa"/>
          <w:trHeight w:val="217" w:hRule="atLeast"/>
        </w:trPr>
        <w:tc>
          <w:tcPr>
            <w:tcW w:w="197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4" w:type="dxa"/>
          <w:trHeight w:val="797" w:hRule="atLeast"/>
        </w:trPr>
        <w:tc>
          <w:tcPr>
            <w:tcW w:w="197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eastAsia" w:ascii="宋体" w:eastAsia="宋体" w:cs="宋体"/>
                <w:sz w:val="24"/>
                <w:lang w:eastAsia="zh-CN"/>
              </w:rPr>
            </w:pPr>
          </w:p>
        </w:tc>
        <w:tc>
          <w:tcPr>
            <w:tcW w:w="3634"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ascii="宋体" w:cs="宋体"/>
                <w:sz w:val="24"/>
              </w:rPr>
            </w:pPr>
          </w:p>
        </w:tc>
      </w:tr>
      <w:tr>
        <w:tblPrEx>
          <w:tblCellMar>
            <w:top w:w="0" w:type="dxa"/>
            <w:left w:w="108" w:type="dxa"/>
            <w:bottom w:w="0" w:type="dxa"/>
            <w:right w:w="108" w:type="dxa"/>
          </w:tblCellMar>
        </w:tblPrEx>
        <w:trPr>
          <w:gridAfter w:val="1"/>
          <w:wAfter w:w="234" w:type="dxa"/>
          <w:trHeight w:val="693" w:hRule="atLeast"/>
        </w:trPr>
        <w:tc>
          <w:tcPr>
            <w:tcW w:w="1977"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15"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效益</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77"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480" w:hRule="atLeast"/>
        </w:trPr>
        <w:tc>
          <w:tcPr>
            <w:tcW w:w="1977"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4" w:type="dxa"/>
          <w:trHeight w:val="530" w:hRule="atLeast"/>
        </w:trPr>
        <w:tc>
          <w:tcPr>
            <w:tcW w:w="1977"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bl>
    <w:p>
      <w:pPr>
        <w:widowControl/>
        <w:adjustRightInd w:val="0"/>
        <w:snapToGrid w:val="0"/>
        <w:spacing w:line="580" w:lineRule="exact"/>
        <w:contextualSpacing/>
        <w:jc w:val="left"/>
        <w:rPr>
          <w:rFonts w:ascii="仿宋_GB2312" w:eastAsia="仿宋_GB2312" w:cs="宋体"/>
          <w:kern w:val="0"/>
          <w:sz w:val="32"/>
          <w:szCs w:val="32"/>
          <w:shd w:val="clear" w:color="auto" w:fill="FFFFFF"/>
          <w:lang w:val="zh-CN"/>
        </w:rPr>
      </w:pPr>
    </w:p>
    <w:p>
      <w:pPr>
        <w:widowControl/>
        <w:adjustRightInd w:val="0"/>
        <w:snapToGrid w:val="0"/>
        <w:spacing w:line="580" w:lineRule="exact"/>
        <w:contextualSpacing/>
        <w:jc w:val="left"/>
      </w:pPr>
      <w:r>
        <w:rPr>
          <w:rFonts w:hint="eastAsia" w:ascii="仿宋_GB2312" w:eastAsia="仿宋_GB2312" w:cs="宋体"/>
          <w:kern w:val="0"/>
          <w:sz w:val="32"/>
          <w:szCs w:val="32"/>
          <w:shd w:val="clear" w:color="auto" w:fill="FFFFFF"/>
        </w:rPr>
        <w:t>（注：有两个及以上100万元以上（含）特定目标类部门预算项目的，需分别开展绩效目标自评并填写附表）</w:t>
      </w:r>
    </w:p>
    <w:p>
      <w:pPr>
        <w:spacing w:line="580" w:lineRule="exact"/>
        <w:rPr>
          <w:rStyle w:val="16"/>
          <w:rFonts w:ascii="黑体" w:eastAsia="黑体"/>
          <w:b w:val="0"/>
        </w:rPr>
      </w:pPr>
    </w:p>
    <w:p>
      <w:pPr>
        <w:widowControl/>
        <w:jc w:val="left"/>
        <w:rPr>
          <w:rStyle w:val="16"/>
          <w:rFonts w:ascii="黑体" w:eastAsia="黑体"/>
          <w:b w:val="0"/>
        </w:rPr>
      </w:pPr>
      <w:r>
        <w:rPr>
          <w:rStyle w:val="16"/>
          <w:rFonts w:ascii="黑体" w:eastAsia="黑体"/>
          <w:b w:val="0"/>
        </w:rPr>
        <w:br w:type="page"/>
      </w:r>
    </w:p>
    <w:p>
      <w:pPr>
        <w:spacing w:line="600" w:lineRule="exact"/>
        <w:jc w:val="center"/>
        <w:outlineLvl w:val="0"/>
        <w:rPr>
          <w:rFonts w:ascii="仿宋" w:eastAsia="仿宋"/>
        </w:rPr>
      </w:pPr>
      <w:bookmarkStart w:id="104" w:name="_Toc7749"/>
      <w:bookmarkStart w:id="105" w:name="_Toc15396618"/>
      <w:bookmarkStart w:id="106" w:name="_Toc5305"/>
      <w:r>
        <w:rPr>
          <w:rFonts w:hint="eastAsia" w:ascii="黑体" w:eastAsia="黑体"/>
          <w:sz w:val="44"/>
          <w:szCs w:val="44"/>
        </w:rPr>
        <w:t>第</w:t>
      </w:r>
      <w:r>
        <w:rPr>
          <w:rStyle w:val="16"/>
          <w:rFonts w:hint="eastAsia" w:ascii="黑体" w:eastAsia="黑体"/>
          <w:b w:val="0"/>
        </w:rPr>
        <w:t>五部分 附表</w:t>
      </w:r>
      <w:bookmarkEnd w:id="101"/>
      <w:bookmarkEnd w:id="104"/>
      <w:bookmarkEnd w:id="105"/>
      <w:bookmarkEnd w:id="106"/>
      <w:bookmarkStart w:id="107" w:name="_Toc15396619"/>
    </w:p>
    <w:p>
      <w:pPr>
        <w:pStyle w:val="4"/>
        <w:rPr>
          <w:rFonts w:ascii="仿宋" w:eastAsia="仿宋"/>
        </w:rPr>
      </w:pPr>
      <w:bookmarkStart w:id="108" w:name="_Toc24457"/>
      <w:bookmarkStart w:id="109" w:name="_Toc4724"/>
      <w:r>
        <w:rPr>
          <w:rFonts w:hint="eastAsia" w:ascii="仿宋" w:eastAsia="仿宋"/>
          <w:b w:val="0"/>
        </w:rPr>
        <w:t>一、收</w:t>
      </w:r>
      <w:r>
        <w:rPr>
          <w:rStyle w:val="17"/>
          <w:rFonts w:hint="eastAsia" w:ascii="仿宋" w:eastAsia="仿宋"/>
          <w:b w:val="0"/>
          <w:bCs w:val="0"/>
        </w:rPr>
        <w:t>入支出决算总表</w:t>
      </w:r>
      <w:bookmarkEnd w:id="107"/>
      <w:bookmarkEnd w:id="108"/>
      <w:bookmarkEnd w:id="109"/>
    </w:p>
    <w:p>
      <w:pPr>
        <w:pStyle w:val="4"/>
        <w:rPr>
          <w:rFonts w:ascii="仿宋" w:eastAsia="仿宋"/>
        </w:rPr>
      </w:pPr>
      <w:bookmarkStart w:id="110" w:name="_Toc21358"/>
      <w:bookmarkStart w:id="111" w:name="_Toc1199"/>
      <w:bookmarkStart w:id="112" w:name="_Toc15396620"/>
      <w:r>
        <w:rPr>
          <w:rFonts w:hint="eastAsia" w:ascii="仿宋" w:eastAsia="仿宋"/>
          <w:b w:val="0"/>
        </w:rPr>
        <w:t>二、收</w:t>
      </w:r>
      <w:r>
        <w:rPr>
          <w:rStyle w:val="17"/>
          <w:rFonts w:hint="eastAsia" w:ascii="仿宋" w:eastAsia="仿宋"/>
          <w:b w:val="0"/>
          <w:bCs w:val="0"/>
        </w:rPr>
        <w:t>入决算表</w:t>
      </w:r>
      <w:bookmarkEnd w:id="110"/>
      <w:bookmarkEnd w:id="111"/>
      <w:bookmarkEnd w:id="112"/>
    </w:p>
    <w:p>
      <w:pPr>
        <w:pStyle w:val="4"/>
        <w:rPr>
          <w:rFonts w:ascii="仿宋" w:eastAsia="仿宋"/>
        </w:rPr>
      </w:pPr>
      <w:bookmarkStart w:id="113" w:name="_Toc14167"/>
      <w:bookmarkStart w:id="114" w:name="_Toc15396621"/>
      <w:bookmarkStart w:id="115" w:name="_Toc21939"/>
      <w:r>
        <w:rPr>
          <w:rStyle w:val="17"/>
          <w:rFonts w:hint="eastAsia" w:ascii="仿宋" w:eastAsia="仿宋"/>
          <w:b w:val="0"/>
          <w:bCs w:val="0"/>
        </w:rPr>
        <w:t>三、</w:t>
      </w:r>
      <w:r>
        <w:rPr>
          <w:rFonts w:hint="eastAsia" w:ascii="仿宋" w:eastAsia="仿宋"/>
          <w:b w:val="0"/>
        </w:rPr>
        <w:t>支</w:t>
      </w:r>
      <w:r>
        <w:rPr>
          <w:rStyle w:val="17"/>
          <w:rFonts w:hint="eastAsia" w:ascii="仿宋" w:eastAsia="仿宋"/>
          <w:b w:val="0"/>
          <w:bCs w:val="0"/>
        </w:rPr>
        <w:t>出决算表</w:t>
      </w:r>
      <w:bookmarkEnd w:id="113"/>
      <w:bookmarkEnd w:id="114"/>
      <w:bookmarkEnd w:id="115"/>
    </w:p>
    <w:p>
      <w:pPr>
        <w:pStyle w:val="4"/>
        <w:rPr>
          <w:rFonts w:ascii="仿宋" w:eastAsia="仿宋"/>
          <w:b w:val="0"/>
        </w:rPr>
      </w:pPr>
      <w:bookmarkStart w:id="116" w:name="_Toc15396622"/>
      <w:bookmarkStart w:id="117" w:name="_Toc25159"/>
      <w:bookmarkStart w:id="118" w:name="_Toc25654"/>
      <w:r>
        <w:rPr>
          <w:rStyle w:val="17"/>
          <w:rFonts w:hint="eastAsia" w:ascii="仿宋" w:eastAsia="仿宋"/>
          <w:b w:val="0"/>
          <w:bCs w:val="0"/>
        </w:rPr>
        <w:t>四、</w:t>
      </w:r>
      <w:r>
        <w:rPr>
          <w:rFonts w:hint="eastAsia" w:ascii="仿宋" w:eastAsia="仿宋"/>
          <w:b w:val="0"/>
        </w:rPr>
        <w:t>财</w:t>
      </w:r>
      <w:r>
        <w:rPr>
          <w:rStyle w:val="17"/>
          <w:rFonts w:hint="eastAsia" w:ascii="仿宋" w:eastAsia="仿宋"/>
          <w:b w:val="0"/>
          <w:bCs w:val="0"/>
        </w:rPr>
        <w:t>政拨款收入支出决算总表</w:t>
      </w:r>
      <w:bookmarkEnd w:id="116"/>
      <w:bookmarkEnd w:id="117"/>
      <w:bookmarkEnd w:id="118"/>
    </w:p>
    <w:p>
      <w:pPr>
        <w:pStyle w:val="4"/>
        <w:rPr>
          <w:rStyle w:val="17"/>
          <w:rFonts w:ascii="仿宋" w:eastAsia="仿宋"/>
          <w:b w:val="0"/>
          <w:bCs w:val="0"/>
        </w:rPr>
      </w:pPr>
      <w:bookmarkStart w:id="119" w:name="_Toc23859"/>
      <w:bookmarkStart w:id="120" w:name="_Toc15396623"/>
      <w:bookmarkStart w:id="121" w:name="_Toc2534"/>
      <w:r>
        <w:rPr>
          <w:rStyle w:val="17"/>
          <w:rFonts w:hint="eastAsia" w:ascii="仿宋" w:eastAsia="仿宋"/>
          <w:b w:val="0"/>
          <w:bCs w:val="0"/>
        </w:rPr>
        <w:t>五、</w:t>
      </w:r>
      <w:r>
        <w:rPr>
          <w:rFonts w:hint="eastAsia" w:ascii="仿宋" w:eastAsia="仿宋"/>
          <w:b w:val="0"/>
        </w:rPr>
        <w:t>财</w:t>
      </w:r>
      <w:r>
        <w:rPr>
          <w:rStyle w:val="17"/>
          <w:rFonts w:hint="eastAsia" w:ascii="仿宋" w:eastAsia="仿宋"/>
          <w:b w:val="0"/>
          <w:bCs w:val="0"/>
        </w:rPr>
        <w:t>政拨款支出决算明细表</w:t>
      </w:r>
      <w:bookmarkEnd w:id="119"/>
      <w:bookmarkEnd w:id="120"/>
      <w:bookmarkEnd w:id="121"/>
      <w:bookmarkStart w:id="122" w:name="_Toc15396624"/>
    </w:p>
    <w:p>
      <w:pPr>
        <w:pStyle w:val="4"/>
        <w:rPr>
          <w:rFonts w:ascii="仿宋" w:eastAsia="仿宋"/>
        </w:rPr>
      </w:pPr>
      <w:bookmarkStart w:id="123" w:name="_Toc27623"/>
      <w:bookmarkStart w:id="124" w:name="_Toc12701"/>
      <w:r>
        <w:rPr>
          <w:rStyle w:val="17"/>
          <w:rFonts w:hint="eastAsia" w:ascii="仿宋" w:eastAsia="仿宋"/>
          <w:b w:val="0"/>
          <w:bCs w:val="0"/>
        </w:rPr>
        <w:t>六、</w:t>
      </w:r>
      <w:r>
        <w:rPr>
          <w:rFonts w:hint="eastAsia" w:ascii="仿宋" w:eastAsia="仿宋"/>
          <w:b w:val="0"/>
        </w:rPr>
        <w:t>一</w:t>
      </w:r>
      <w:r>
        <w:rPr>
          <w:rStyle w:val="17"/>
          <w:rFonts w:hint="eastAsia" w:ascii="仿宋" w:eastAsia="仿宋"/>
          <w:b w:val="0"/>
          <w:bCs w:val="0"/>
        </w:rPr>
        <w:t>般公共预算财政拨款支出决算表</w:t>
      </w:r>
      <w:bookmarkEnd w:id="122"/>
      <w:bookmarkEnd w:id="123"/>
      <w:bookmarkEnd w:id="124"/>
    </w:p>
    <w:p>
      <w:pPr>
        <w:pStyle w:val="4"/>
        <w:rPr>
          <w:rFonts w:ascii="仿宋" w:eastAsia="仿宋"/>
        </w:rPr>
      </w:pPr>
      <w:bookmarkStart w:id="125" w:name="_Toc10577"/>
      <w:bookmarkStart w:id="126" w:name="_Toc2770"/>
      <w:bookmarkStart w:id="127" w:name="_Toc15396625"/>
      <w:r>
        <w:rPr>
          <w:rStyle w:val="17"/>
          <w:rFonts w:hint="eastAsia" w:ascii="仿宋" w:eastAsia="仿宋"/>
          <w:b w:val="0"/>
          <w:bCs w:val="0"/>
        </w:rPr>
        <w:t>七、</w:t>
      </w:r>
      <w:r>
        <w:rPr>
          <w:rFonts w:hint="eastAsia" w:ascii="仿宋" w:eastAsia="仿宋"/>
          <w:b w:val="0"/>
        </w:rPr>
        <w:t>一</w:t>
      </w:r>
      <w:r>
        <w:rPr>
          <w:rStyle w:val="17"/>
          <w:rFonts w:hint="eastAsia" w:ascii="仿宋" w:eastAsia="仿宋"/>
          <w:b w:val="0"/>
          <w:bCs w:val="0"/>
        </w:rPr>
        <w:t>般公共预算财政拨款支出决算明细表</w:t>
      </w:r>
      <w:bookmarkEnd w:id="125"/>
      <w:bookmarkEnd w:id="126"/>
      <w:bookmarkEnd w:id="127"/>
    </w:p>
    <w:p>
      <w:pPr>
        <w:pStyle w:val="4"/>
        <w:rPr>
          <w:rFonts w:ascii="仿宋" w:eastAsia="仿宋"/>
        </w:rPr>
      </w:pPr>
      <w:bookmarkStart w:id="128" w:name="_Toc15540"/>
      <w:bookmarkStart w:id="129" w:name="_Toc32274"/>
      <w:bookmarkStart w:id="130" w:name="_Toc15396626"/>
      <w:r>
        <w:rPr>
          <w:rStyle w:val="17"/>
          <w:rFonts w:hint="eastAsia" w:ascii="仿宋" w:eastAsia="仿宋"/>
          <w:b w:val="0"/>
          <w:bCs w:val="0"/>
        </w:rPr>
        <w:t>八、</w:t>
      </w:r>
      <w:r>
        <w:rPr>
          <w:rFonts w:hint="eastAsia" w:ascii="仿宋" w:eastAsia="仿宋"/>
          <w:b w:val="0"/>
        </w:rPr>
        <w:t>一</w:t>
      </w:r>
      <w:r>
        <w:rPr>
          <w:rStyle w:val="17"/>
          <w:rFonts w:hint="eastAsia" w:ascii="仿宋" w:eastAsia="仿宋"/>
          <w:b w:val="0"/>
          <w:bCs w:val="0"/>
        </w:rPr>
        <w:t>般公共预算财政拨款基本支出决算表</w:t>
      </w:r>
      <w:bookmarkEnd w:id="128"/>
      <w:bookmarkEnd w:id="129"/>
      <w:bookmarkEnd w:id="130"/>
    </w:p>
    <w:p>
      <w:pPr>
        <w:pStyle w:val="4"/>
        <w:rPr>
          <w:rFonts w:ascii="仿宋" w:eastAsia="仿宋"/>
        </w:rPr>
      </w:pPr>
      <w:bookmarkStart w:id="131" w:name="_Toc15396627"/>
      <w:bookmarkStart w:id="132" w:name="_Toc18196"/>
      <w:bookmarkStart w:id="133" w:name="_Toc6119"/>
      <w:r>
        <w:rPr>
          <w:rStyle w:val="17"/>
          <w:rFonts w:hint="eastAsia" w:ascii="仿宋" w:eastAsia="仿宋"/>
          <w:b w:val="0"/>
          <w:bCs w:val="0"/>
        </w:rPr>
        <w:t>九、</w:t>
      </w:r>
      <w:r>
        <w:rPr>
          <w:rFonts w:hint="eastAsia" w:ascii="仿宋" w:eastAsia="仿宋"/>
          <w:b w:val="0"/>
        </w:rPr>
        <w:t>一</w:t>
      </w:r>
      <w:r>
        <w:rPr>
          <w:rStyle w:val="17"/>
          <w:rFonts w:hint="eastAsia" w:ascii="仿宋" w:eastAsia="仿宋"/>
          <w:b w:val="0"/>
          <w:bCs w:val="0"/>
        </w:rPr>
        <w:t>般公共预算财政拨款项目支出决算表</w:t>
      </w:r>
      <w:bookmarkEnd w:id="131"/>
      <w:bookmarkEnd w:id="132"/>
      <w:bookmarkEnd w:id="133"/>
    </w:p>
    <w:p>
      <w:pPr>
        <w:pStyle w:val="4"/>
        <w:rPr>
          <w:rFonts w:ascii="仿宋" w:eastAsia="仿宋"/>
        </w:rPr>
      </w:pPr>
      <w:bookmarkStart w:id="134" w:name="_Toc9232"/>
      <w:bookmarkStart w:id="135" w:name="_Toc15396628"/>
      <w:bookmarkStart w:id="136" w:name="_Toc24347"/>
      <w:r>
        <w:rPr>
          <w:rStyle w:val="17"/>
          <w:rFonts w:hint="eastAsia" w:ascii="仿宋" w:eastAsia="仿宋"/>
          <w:b w:val="0"/>
          <w:bCs w:val="0"/>
        </w:rPr>
        <w:t>十、</w:t>
      </w:r>
      <w:r>
        <w:rPr>
          <w:rFonts w:hint="eastAsia" w:ascii="仿宋" w:eastAsia="仿宋"/>
          <w:b w:val="0"/>
        </w:rPr>
        <w:t>一</w:t>
      </w:r>
      <w:r>
        <w:rPr>
          <w:rStyle w:val="17"/>
          <w:rFonts w:hint="eastAsia" w:ascii="仿宋" w:eastAsia="仿宋"/>
          <w:b w:val="0"/>
          <w:bCs w:val="0"/>
        </w:rPr>
        <w:t>般公共预算财政拨款“三公”经费支出决算表</w:t>
      </w:r>
      <w:bookmarkEnd w:id="134"/>
      <w:bookmarkEnd w:id="135"/>
      <w:bookmarkEnd w:id="136"/>
    </w:p>
    <w:p>
      <w:pPr>
        <w:pStyle w:val="4"/>
        <w:rPr>
          <w:rFonts w:ascii="仿宋" w:eastAsia="仿宋"/>
        </w:rPr>
      </w:pPr>
      <w:bookmarkStart w:id="137" w:name="_Toc31672"/>
      <w:bookmarkStart w:id="138" w:name="_Toc15396629"/>
      <w:bookmarkStart w:id="139" w:name="_Toc15645"/>
      <w:r>
        <w:rPr>
          <w:rStyle w:val="17"/>
          <w:rFonts w:hint="eastAsia" w:ascii="仿宋" w:eastAsia="仿宋"/>
          <w:b w:val="0"/>
          <w:bCs w:val="0"/>
        </w:rPr>
        <w:t>十一、</w:t>
      </w:r>
      <w:r>
        <w:rPr>
          <w:rFonts w:hint="eastAsia" w:ascii="仿宋" w:eastAsia="仿宋"/>
          <w:b w:val="0"/>
        </w:rPr>
        <w:t>政</w:t>
      </w:r>
      <w:r>
        <w:rPr>
          <w:rStyle w:val="17"/>
          <w:rFonts w:hint="eastAsia" w:ascii="仿宋" w:eastAsia="仿宋"/>
          <w:b w:val="0"/>
          <w:bCs w:val="0"/>
        </w:rPr>
        <w:t>府性基金预算财政拨款收入支出决算表</w:t>
      </w:r>
      <w:bookmarkEnd w:id="137"/>
      <w:bookmarkEnd w:id="138"/>
      <w:bookmarkEnd w:id="139"/>
    </w:p>
    <w:p>
      <w:pPr>
        <w:pStyle w:val="4"/>
        <w:rPr>
          <w:rFonts w:ascii="仿宋" w:eastAsia="仿宋"/>
        </w:rPr>
      </w:pPr>
      <w:bookmarkStart w:id="140" w:name="_Toc16411"/>
      <w:bookmarkStart w:id="141" w:name="_Toc15396630"/>
      <w:bookmarkStart w:id="142" w:name="_Toc29484"/>
      <w:r>
        <w:rPr>
          <w:rStyle w:val="17"/>
          <w:rFonts w:hint="eastAsia" w:ascii="仿宋" w:eastAsia="仿宋"/>
          <w:b w:val="0"/>
          <w:bCs w:val="0"/>
        </w:rPr>
        <w:t>十二、</w:t>
      </w:r>
      <w:r>
        <w:rPr>
          <w:rFonts w:hint="eastAsia" w:ascii="仿宋" w:eastAsia="仿宋"/>
          <w:b w:val="0"/>
        </w:rPr>
        <w:t>政</w:t>
      </w:r>
      <w:r>
        <w:rPr>
          <w:rStyle w:val="17"/>
          <w:rFonts w:hint="eastAsia" w:ascii="仿宋" w:eastAsia="仿宋"/>
          <w:b w:val="0"/>
          <w:bCs w:val="0"/>
        </w:rPr>
        <w:t>府性基金预算财政拨款“三公”经费支出决算表</w:t>
      </w:r>
      <w:bookmarkEnd w:id="140"/>
      <w:bookmarkEnd w:id="141"/>
      <w:bookmarkEnd w:id="142"/>
    </w:p>
    <w:p>
      <w:pPr>
        <w:pStyle w:val="4"/>
        <w:rPr>
          <w:rStyle w:val="17"/>
          <w:rFonts w:ascii="仿宋" w:eastAsia="仿宋"/>
          <w:b w:val="0"/>
          <w:bCs w:val="0"/>
        </w:rPr>
      </w:pPr>
      <w:bookmarkStart w:id="143" w:name="_Toc24555"/>
      <w:bookmarkStart w:id="144" w:name="_Toc15396631"/>
      <w:bookmarkStart w:id="145" w:name="_Toc2893"/>
      <w:r>
        <w:rPr>
          <w:rStyle w:val="17"/>
          <w:rFonts w:hint="eastAsia" w:ascii="仿宋" w:eastAsia="仿宋"/>
          <w:b w:val="0"/>
          <w:bCs w:val="0"/>
        </w:rPr>
        <w:t>十三、</w:t>
      </w:r>
      <w:r>
        <w:rPr>
          <w:rFonts w:hint="eastAsia" w:ascii="仿宋" w:eastAsia="仿宋"/>
          <w:b w:val="0"/>
        </w:rPr>
        <w:t>国</w:t>
      </w:r>
      <w:r>
        <w:rPr>
          <w:rStyle w:val="17"/>
          <w:rFonts w:hint="eastAsia" w:ascii="仿宋" w:eastAsia="仿宋"/>
          <w:b w:val="0"/>
          <w:bCs w:val="0"/>
        </w:rPr>
        <w:t>有资本经营预算财政拨款收入支出决算表</w:t>
      </w:r>
      <w:bookmarkEnd w:id="143"/>
      <w:bookmarkEnd w:id="144"/>
      <w:bookmarkEnd w:id="145"/>
    </w:p>
    <w:p>
      <w:pPr>
        <w:rPr>
          <w:rFonts w:eastAsia="仿宋"/>
        </w:rPr>
      </w:pPr>
      <w:bookmarkStart w:id="146" w:name="_Toc12628"/>
      <w:bookmarkStart w:id="147" w:name="_Toc12118"/>
      <w:r>
        <w:rPr>
          <w:rStyle w:val="17"/>
          <w:rFonts w:hint="eastAsia" w:ascii="仿宋" w:eastAsia="仿宋"/>
          <w:b w:val="0"/>
          <w:bCs w:val="0"/>
        </w:rPr>
        <w:t>十四、国有资本经营预算财政拨款支出决算表</w:t>
      </w:r>
      <w:bookmarkEnd w:id="146"/>
      <w:bookmarkEnd w:id="14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pPr>
          <w:pStyle w:val="8"/>
          <w:jc w:val="center"/>
        </w:pPr>
        <w:r>
          <w:fldChar w:fldCharType="begin"/>
        </w:r>
        <w:r>
          <w:instrText xml:space="preserve">PAGE   \* MERGEFORMAT</w:instrText>
        </w:r>
        <w:r>
          <w:fldChar w:fldCharType="separate"/>
        </w:r>
        <w:r>
          <w:rPr>
            <w:lang w:val="zh-CN"/>
          </w:rPr>
          <w:t>8</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WQxMTVhMzA0ZmI5MzE0ZTQ4Njg5NWUwM2ZhMTJkY2QifQ=="/>
  </w:docVars>
  <w:rsids>
    <w:rsidRoot w:val="005A6850"/>
    <w:rsid w:val="003369FF"/>
    <w:rsid w:val="005A6850"/>
    <w:rsid w:val="007E0B38"/>
    <w:rsid w:val="00B44167"/>
    <w:rsid w:val="00D12052"/>
    <w:rsid w:val="00D90040"/>
    <w:rsid w:val="00DD0E6F"/>
    <w:rsid w:val="088176B4"/>
    <w:rsid w:val="0CF67BD3"/>
    <w:rsid w:val="0DA83DEA"/>
    <w:rsid w:val="1F9B605E"/>
    <w:rsid w:val="2E9F700B"/>
    <w:rsid w:val="332B2F23"/>
    <w:rsid w:val="342A2B87"/>
    <w:rsid w:val="35B5220F"/>
    <w:rsid w:val="37D17997"/>
    <w:rsid w:val="38C3638F"/>
    <w:rsid w:val="3EED4411"/>
    <w:rsid w:val="55B60753"/>
    <w:rsid w:val="59431CE8"/>
    <w:rsid w:val="5F29515F"/>
    <w:rsid w:val="617561F2"/>
    <w:rsid w:val="62090AB2"/>
    <w:rsid w:val="66ED6572"/>
    <w:rsid w:val="69BB7B61"/>
    <w:rsid w:val="703379DD"/>
    <w:rsid w:val="72A20473"/>
    <w:rsid w:val="744616FC"/>
    <w:rsid w:val="761471F8"/>
    <w:rsid w:val="7F955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7"/>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标题 1 字符"/>
    <w:basedOn w:val="13"/>
    <w:link w:val="3"/>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字符"/>
    <w:basedOn w:val="13"/>
    <w:link w:val="4"/>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4">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5">
    <w:name w:val="文档正文"/>
    <w:basedOn w:val="1"/>
    <w:qFormat/>
    <w:uiPriority w:val="0"/>
    <w:pPr>
      <w:widowControl w:val="0"/>
      <w:adjustRightInd w:val="0"/>
      <w:spacing w:line="480" w:lineRule="atLeast"/>
      <w:jc w:val="both"/>
      <w:textAlignment w:val="baseline"/>
    </w:pPr>
    <w:rPr>
      <w:rFonts w:ascii="Arial" w:hAnsi="Arial" w:eastAsia="仿宋_GB2312" w:cs="Times New Roman"/>
      <w:kern w:val="0"/>
      <w:sz w:val="32"/>
      <w:szCs w:val="24"/>
      <w:lang w:val="en-US" w:eastAsia="zh-CN" w:bidi="ar-SA"/>
    </w:rPr>
  </w:style>
  <w:style w:type="paragraph" w:customStyle="1" w:styleId="26">
    <w:name w:val="WPSOffice手动目录 1"/>
    <w:uiPriority w:val="0"/>
    <w:pPr>
      <w:ind w:leftChars="0"/>
    </w:pPr>
    <w:rPr>
      <w:rFonts w:ascii="Times New Roman" w:hAnsi="Times New Roman" w:eastAsia="宋体" w:cs="Times New Roman"/>
      <w:sz w:val="20"/>
      <w:szCs w:val="20"/>
    </w:rPr>
  </w:style>
  <w:style w:type="paragraph" w:customStyle="1" w:styleId="27">
    <w:name w:val="WPSOffice手动目录 2"/>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c:f>
              <c:strCache>
                <c:ptCount val="1"/>
                <c:pt idx="0">
                  <c:v>收、支决算总计变动 </c:v>
                </c:pt>
              </c:strCache>
            </c:strRef>
          </c:cat>
          <c:val>
            <c:numRef>
              <c:f>Sheet1!$B$2</c:f>
              <c:numCache>
                <c:formatCode>General</c:formatCode>
                <c:ptCount val="1"/>
                <c:pt idx="0">
                  <c:v>617.61</c:v>
                </c:pt>
              </c:numCache>
            </c:numRef>
          </c:val>
        </c:ser>
        <c:ser>
          <c:idx val="1"/>
          <c:order val="1"/>
          <c:tx>
            <c:strRef>
              <c:f>Sheet1!$C$1</c:f>
              <c:strCache>
                <c:ptCount val="1"/>
                <c:pt idx="0">
                  <c:v>2020年</c:v>
                </c:pt>
              </c:strCache>
            </c:strRef>
          </c:tx>
          <c:spPr>
            <a:solidFill>
              <a:schemeClr val="accent2"/>
            </a:solidFill>
            <a:ln>
              <a:noFill/>
            </a:ln>
            <a:effectLst/>
          </c:spPr>
          <c:invertIfNegative val="0"/>
          <c:dLbls>
            <c:delete val="1"/>
          </c:dLbls>
          <c:cat>
            <c:strRef>
              <c:f>Sheet1!$A$2</c:f>
              <c:strCache>
                <c:ptCount val="1"/>
                <c:pt idx="0">
                  <c:v>收、支决算总计变动 </c:v>
                </c:pt>
              </c:strCache>
            </c:strRef>
          </c:cat>
          <c:val>
            <c:numRef>
              <c:f>Sheet1!$C$2</c:f>
              <c:numCache>
                <c:formatCode>General</c:formatCode>
                <c:ptCount val="1"/>
                <c:pt idx="0">
                  <c:v>524.27</c:v>
                </c:pt>
              </c:numCache>
            </c:numRef>
          </c:val>
        </c:ser>
        <c:dLbls>
          <c:showLegendKey val="0"/>
          <c:showVal val="0"/>
          <c:showCatName val="0"/>
          <c:showSerName val="0"/>
          <c:showPercent val="0"/>
          <c:showBubbleSize val="0"/>
        </c:dLbls>
        <c:gapWidth val="219"/>
        <c:overlap val="-27"/>
        <c:axId val="699935197"/>
        <c:axId val="552001944"/>
      </c:barChart>
      <c:catAx>
        <c:axId val="6999351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2001944"/>
        <c:crosses val="autoZero"/>
        <c:auto val="1"/>
        <c:lblAlgn val="ctr"/>
        <c:lblOffset val="100"/>
        <c:noMultiLvlLbl val="0"/>
      </c:catAx>
      <c:valAx>
        <c:axId val="552001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993519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1</a:t>
            </a:r>
            <a:r>
              <a:t>年收入</a:t>
            </a:r>
          </a:p>
        </c:rich>
      </c:tx>
      <c:layout/>
      <c:overlay val="0"/>
      <c:spPr>
        <a:noFill/>
        <a:ln>
          <a:noFill/>
        </a:ln>
        <a:effectLst/>
      </c:spPr>
    </c:title>
    <c:autoTitleDeleted val="0"/>
    <c:plotArea>
      <c:layout/>
      <c:pieChart>
        <c:varyColors val="1"/>
        <c:ser>
          <c:idx val="0"/>
          <c:order val="0"/>
          <c:tx>
            <c:strRef>
              <c:f>Sheet1!$B$1</c:f>
              <c:strCache>
                <c:ptCount val="1"/>
                <c:pt idx="0">
                  <c:v>2020年收入</c:v>
                </c:pt>
              </c:strCache>
            </c:strRef>
          </c:tx>
          <c:spPr/>
          <c:explosion val="0"/>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一般公共预算财政拨款收入</c:v>
                </c:pt>
              </c:strCache>
            </c:strRef>
          </c:cat>
          <c:val>
            <c:numRef>
              <c:f>Sheet1!$B$2</c:f>
              <c:numCache>
                <c:formatCode>General</c:formatCode>
                <c:ptCount val="1"/>
                <c:pt idx="0">
                  <c:v>524.27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本年支出合计</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基本支出</c:v>
                </c:pt>
              </c:strCache>
            </c:strRef>
          </c:cat>
          <c:val>
            <c:numRef>
              <c:f>Sheet1!$B$2</c:f>
              <c:numCache>
                <c:formatCode>General</c:formatCode>
                <c:ptCount val="1"/>
                <c:pt idx="0">
                  <c:v>617.61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Sheet1!$B$2</c:f>
              <c:numCache>
                <c:formatCode>General</c:formatCode>
                <c:ptCount val="1"/>
                <c:pt idx="0">
                  <c:v>617.61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财政拨款收支总计</c:v>
                </c:pt>
              </c:strCache>
            </c:strRef>
          </c:cat>
          <c:val>
            <c:numRef>
              <c:f>Sheet1!$C$2</c:f>
              <c:numCache>
                <c:formatCode>General</c:formatCode>
                <c:ptCount val="1"/>
                <c:pt idx="0">
                  <c:v>524.27</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财政拨款收支总计</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918324829"/>
        <c:axId val="779312329"/>
      </c:barChart>
      <c:catAx>
        <c:axId val="9183248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9312329"/>
        <c:crosses val="autoZero"/>
        <c:auto val="1"/>
        <c:lblAlgn val="ctr"/>
        <c:lblOffset val="100"/>
        <c:noMultiLvlLbl val="0"/>
      </c:catAx>
      <c:valAx>
        <c:axId val="7793123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8324829"/>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617.61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584.96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19"/>
        <c:overlap val="-27"/>
        <c:axId val="533817208"/>
        <c:axId val="554456697"/>
      </c:barChart>
      <c:catAx>
        <c:axId val="5338172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4456697"/>
        <c:crosses val="autoZero"/>
        <c:auto val="1"/>
        <c:lblAlgn val="ctr"/>
        <c:lblOffset val="100"/>
        <c:noMultiLvlLbl val="0"/>
      </c:catAx>
      <c:valAx>
        <c:axId val="5544566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381720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66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文化旅游体育与传媒（类）支出</c:v>
                </c:pt>
                <c:pt idx="1">
                  <c:v>社会保障和就业（类）支出</c:v>
                </c:pt>
                <c:pt idx="2">
                  <c:v>卫生健康支出</c:v>
                </c:pt>
                <c:pt idx="3">
                  <c:v>住房保障支出</c:v>
                </c:pt>
              </c:strCache>
            </c:strRef>
          </c:cat>
          <c:val>
            <c:numRef>
              <c:f>Sheet1!$B$2:$B$5</c:f>
              <c:numCache>
                <c:formatCode>General</c:formatCode>
                <c:ptCount val="4"/>
                <c:pt idx="0">
                  <c:v>531.55</c:v>
                </c:pt>
                <c:pt idx="1">
                  <c:v>38.78</c:v>
                </c:pt>
                <c:pt idx="2">
                  <c:v>17.16</c:v>
                </c:pt>
                <c:pt idx="3">
                  <c:v>30.12</c:v>
                </c:pt>
              </c:numCache>
            </c:numRef>
          </c:val>
        </c:ser>
        <c:ser>
          <c:idx val="1"/>
          <c:order val="1"/>
          <c:tx>
            <c:strRef>
              <c:f>Sheet1!#REF!</c:f>
              <c:strCache>
                <c:ptCount val="1"/>
                <c:pt idx="0">
                  <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5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文化旅游体育与传媒（类）支出</c:v>
                </c:pt>
                <c:pt idx="1">
                  <c:v>社会保障和就业（类）支出</c:v>
                </c:pt>
                <c:pt idx="2">
                  <c:v>卫生健康支出</c:v>
                </c:pt>
                <c:pt idx="3">
                  <c:v>住房保障支出</c:v>
                </c:pt>
              </c:strCache>
            </c:strRef>
          </c:cat>
          <c:val>
            <c:numRef>
              <c:f>Sheet1!#REF!</c:f>
              <c:numCache>
                <c:formatCode>General</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55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55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General</c:formatCode>
                <c:ptCount val="2"/>
                <c:pt idx="0">
                  <c:v>4.97</c:v>
                </c:pt>
                <c:pt idx="1">
                  <c:v>0.51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17</Pages>
  <Words>5088</Words>
  <Characters>5519</Characters>
  <Lines>57</Lines>
  <Paragraphs>16</Paragraphs>
  <TotalTime>3</TotalTime>
  <ScaleCrop>false</ScaleCrop>
  <LinksUpToDate>false</LinksUpToDate>
  <CharactersWithSpaces>5647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Jayk</cp:lastModifiedBy>
  <cp:lastPrinted>2022-10-08T07:38:00Z</cp:lastPrinted>
  <dcterms:modified xsi:type="dcterms:W3CDTF">2022-10-09T02:04:09Z</dcterms:modified>
  <dc:title>四川省***</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399C28BD68794762AEF145A7849C157A</vt:lpwstr>
  </property>
</Properties>
</file>