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line="600" w:lineRule="exact"/>
        <w:jc w:val="center"/>
        <w:rPr>
          <w:rFonts w:ascii="Times New Roman" w:hAnsi="Times New Roman" w:eastAsia="方正小标宋_GBK" w:cs="Times New Roman"/>
          <w:kern w:val="0"/>
          <w:sz w:val="44"/>
          <w:szCs w:val="44"/>
        </w:rPr>
      </w:pPr>
      <w:r>
        <w:rPr>
          <w:rFonts w:ascii="Times New Roman" w:hAnsi="Times New Roman" w:eastAsia="方正小标宋_GBK" w:cs="Times New Roman"/>
          <w:b/>
          <w:bCs/>
          <w:kern w:val="0"/>
          <w:sz w:val="44"/>
          <w:szCs w:val="44"/>
        </w:rPr>
        <w:t>2019年度</w:t>
      </w:r>
    </w:p>
    <w:p>
      <w:pPr>
        <w:widowControl/>
        <w:shd w:val="clear" w:color="auto" w:fill="FFFFFF"/>
        <w:snapToGrid w:val="0"/>
        <w:spacing w:line="600" w:lineRule="exact"/>
        <w:jc w:val="center"/>
        <w:rPr>
          <w:rFonts w:ascii="Times New Roman" w:hAnsi="Times New Roman" w:eastAsia="宋体" w:cs="Times New Roman"/>
          <w:kern w:val="0"/>
          <w:sz w:val="24"/>
          <w:szCs w:val="24"/>
        </w:rPr>
      </w:pPr>
      <w:r>
        <w:rPr>
          <w:rFonts w:ascii="Times New Roman" w:hAnsi="Times New Roman" w:eastAsia="方正小标宋_GBK" w:cs="Times New Roman"/>
          <w:b/>
          <w:bCs/>
          <w:kern w:val="0"/>
          <w:sz w:val="44"/>
          <w:szCs w:val="44"/>
        </w:rPr>
        <w:t>四川省阿坝州新华书店（本级）部门决算</w:t>
      </w:r>
    </w:p>
    <w:p>
      <w:pPr>
        <w:widowControl/>
        <w:shd w:val="clear" w:color="auto" w:fill="FFFFFF"/>
        <w:snapToGrid w:val="0"/>
        <w:spacing w:before="100" w:beforeAutospacing="1" w:after="100" w:afterAutospacing="1" w:line="576"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 </w:t>
      </w:r>
    </w:p>
    <w:p>
      <w:pPr>
        <w:widowControl/>
        <w:shd w:val="clear" w:color="auto" w:fill="FFFFFF"/>
        <w:snapToGrid w:val="0"/>
        <w:spacing w:before="100" w:beforeAutospacing="1" w:after="100" w:afterAutospacing="1" w:line="576"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 </w:t>
      </w:r>
    </w:p>
    <w:p>
      <w:pPr>
        <w:widowControl/>
        <w:shd w:val="clear" w:color="auto" w:fill="FFFFFF"/>
        <w:snapToGrid w:val="0"/>
        <w:spacing w:before="100" w:beforeAutospacing="1" w:after="100" w:afterAutospacing="1" w:line="576"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 </w:t>
      </w:r>
    </w:p>
    <w:p>
      <w:pPr>
        <w:widowControl/>
        <w:shd w:val="clear" w:color="auto" w:fill="FFFFFF"/>
        <w:snapToGrid w:val="0"/>
        <w:spacing w:before="100" w:beforeAutospacing="1" w:after="100" w:afterAutospacing="1" w:line="576"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 </w:t>
      </w:r>
    </w:p>
    <w:p>
      <w:pPr>
        <w:widowControl/>
        <w:shd w:val="clear" w:color="auto" w:fill="FFFFFF"/>
        <w:snapToGrid w:val="0"/>
        <w:spacing w:before="100" w:beforeAutospacing="1" w:after="100" w:afterAutospacing="1" w:line="576"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 </w:t>
      </w:r>
    </w:p>
    <w:p>
      <w:pPr>
        <w:widowControl/>
        <w:shd w:val="clear" w:color="auto" w:fill="FFFFFF"/>
        <w:snapToGrid w:val="0"/>
        <w:spacing w:before="100" w:beforeAutospacing="1" w:after="100" w:afterAutospacing="1" w:line="576"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 </w:t>
      </w:r>
    </w:p>
    <w:p>
      <w:pPr>
        <w:widowControl/>
        <w:shd w:val="clear" w:color="auto" w:fill="FFFFFF"/>
        <w:snapToGrid w:val="0"/>
        <w:spacing w:before="100" w:beforeAutospacing="1" w:after="100" w:afterAutospacing="1" w:line="576"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 </w:t>
      </w:r>
    </w:p>
    <w:p>
      <w:pPr>
        <w:widowControl/>
        <w:shd w:val="clear" w:color="auto" w:fill="FFFFFF"/>
        <w:snapToGrid w:val="0"/>
        <w:spacing w:before="100" w:beforeAutospacing="1" w:after="100" w:afterAutospacing="1" w:line="576" w:lineRule="exact"/>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 </w:t>
      </w:r>
    </w:p>
    <w:p>
      <w:pPr>
        <w:widowControl/>
        <w:shd w:val="clear" w:color="auto" w:fill="FFFFFF"/>
        <w:snapToGrid w:val="0"/>
        <w:spacing w:before="100" w:beforeAutospacing="1" w:after="100" w:afterAutospacing="1" w:line="576" w:lineRule="exact"/>
        <w:rPr>
          <w:rFonts w:ascii="Times New Roman" w:hAnsi="Times New Roman" w:eastAsia="宋体" w:cs="Times New Roman"/>
          <w:kern w:val="0"/>
          <w:sz w:val="32"/>
          <w:szCs w:val="32"/>
        </w:rPr>
      </w:pPr>
    </w:p>
    <w:p>
      <w:pPr>
        <w:widowControl/>
        <w:shd w:val="clear" w:color="auto" w:fill="FFFFFF"/>
        <w:snapToGrid w:val="0"/>
        <w:spacing w:before="100" w:beforeAutospacing="1" w:after="100" w:afterAutospacing="1" w:line="576" w:lineRule="exact"/>
        <w:rPr>
          <w:rFonts w:ascii="Times New Roman" w:hAnsi="Times New Roman" w:eastAsia="宋体" w:cs="Times New Roman"/>
          <w:kern w:val="0"/>
          <w:sz w:val="32"/>
          <w:szCs w:val="32"/>
        </w:rPr>
      </w:pPr>
    </w:p>
    <w:p>
      <w:pPr>
        <w:widowControl/>
        <w:shd w:val="clear" w:color="auto" w:fill="FFFFFF"/>
        <w:snapToGrid w:val="0"/>
        <w:spacing w:before="100" w:beforeAutospacing="1" w:after="100" w:afterAutospacing="1" w:line="576" w:lineRule="exact"/>
        <w:jc w:val="center"/>
        <w:rPr>
          <w:rFonts w:ascii="Times New Roman" w:hAnsi="Times New Roman" w:eastAsia="宋体" w:cs="Times New Roman"/>
          <w:kern w:val="0"/>
          <w:sz w:val="32"/>
          <w:szCs w:val="32"/>
        </w:rPr>
      </w:pPr>
      <w:r>
        <w:rPr>
          <w:rFonts w:ascii="Times New Roman" w:hAnsi="Times New Roman" w:eastAsia="宋体" w:cs="Times New Roman"/>
          <w:kern w:val="0"/>
          <w:sz w:val="32"/>
          <w:szCs w:val="32"/>
        </w:rPr>
        <w:t> </w:t>
      </w:r>
    </w:p>
    <w:p>
      <w:pPr>
        <w:widowControl/>
        <w:shd w:val="clear" w:color="auto" w:fill="FFFFFF"/>
        <w:snapToGrid w:val="0"/>
        <w:spacing w:line="576" w:lineRule="exact"/>
        <w:jc w:val="left"/>
        <w:rPr>
          <w:rFonts w:ascii="Times New Roman" w:hAnsi="Times New Roman" w:eastAsia="宋体" w:cs="Times New Roman"/>
          <w:kern w:val="0"/>
          <w:sz w:val="32"/>
          <w:szCs w:val="32"/>
        </w:rPr>
      </w:pPr>
      <w:r>
        <w:rPr>
          <w:rFonts w:ascii="Times New Roman" w:hAnsi="Times New Roman" w:eastAsia="仿宋_GB2312" w:cs="Times New Roman"/>
          <w:kern w:val="0"/>
          <w:sz w:val="32"/>
          <w:szCs w:val="32"/>
        </w:rPr>
        <w:t xml:space="preserve">   </w:t>
      </w:r>
      <w:bookmarkStart w:id="0" w:name="_GoBack"/>
      <w:bookmarkEnd w:id="0"/>
    </w:p>
    <w:p>
      <w:pPr>
        <w:widowControl/>
        <w:shd w:val="clear" w:color="auto" w:fill="FFFFFF"/>
        <w:snapToGrid w:val="0"/>
        <w:spacing w:line="576" w:lineRule="exact"/>
        <w:jc w:val="center"/>
        <w:rPr>
          <w:rFonts w:ascii="Times New Roman" w:hAnsi="Times New Roman" w:eastAsia="宋体" w:cs="Times New Roman"/>
          <w:kern w:val="0"/>
          <w:sz w:val="32"/>
          <w:szCs w:val="32"/>
        </w:rPr>
        <w:sectPr>
          <w:pgSz w:w="11906" w:h="16838"/>
          <w:pgMar w:top="2098" w:right="1474" w:bottom="1984" w:left="1587" w:header="851" w:footer="992" w:gutter="0"/>
          <w:cols w:space="0" w:num="1"/>
          <w:docGrid w:type="lines" w:linePitch="312" w:charSpace="0"/>
        </w:sectPr>
      </w:pPr>
    </w:p>
    <w:p>
      <w:pPr>
        <w:widowControl/>
        <w:shd w:val="clear" w:color="auto" w:fill="FFFFFF"/>
        <w:snapToGrid w:val="0"/>
        <w:spacing w:line="576" w:lineRule="exact"/>
        <w:jc w:val="center"/>
        <w:rPr>
          <w:rFonts w:ascii="Times New Roman" w:hAnsi="Times New Roman" w:eastAsia="宋体" w:cs="Times New Roman"/>
          <w:kern w:val="0"/>
          <w:sz w:val="32"/>
          <w:szCs w:val="32"/>
        </w:rPr>
      </w:pPr>
      <w:r>
        <w:rPr>
          <w:rFonts w:ascii="Times New Roman" w:hAnsi="Times New Roman" w:eastAsia="宋体" w:cs="Times New Roman"/>
          <w:kern w:val="0"/>
          <w:sz w:val="32"/>
          <w:szCs w:val="32"/>
        </w:rPr>
        <w:t> </w:t>
      </w:r>
    </w:p>
    <w:p>
      <w:pPr>
        <w:widowControl/>
        <w:shd w:val="clear" w:color="auto" w:fill="FFFFFF"/>
        <w:snapToGrid w:val="0"/>
        <w:spacing w:line="576" w:lineRule="exact"/>
        <w:jc w:val="center"/>
        <w:rPr>
          <w:rFonts w:ascii="Times New Roman" w:hAnsi="Times New Roman" w:eastAsia="方正黑体_GBK" w:cs="Times New Roman"/>
          <w:kern w:val="0"/>
          <w:sz w:val="32"/>
          <w:szCs w:val="32"/>
        </w:rPr>
      </w:pPr>
      <w:r>
        <w:rPr>
          <w:rFonts w:ascii="Times New Roman" w:hAnsi="Times New Roman" w:eastAsia="方正黑体_GBK" w:cs="Times New Roman"/>
          <w:b/>
          <w:bCs/>
          <w:kern w:val="0"/>
          <w:sz w:val="32"/>
          <w:szCs w:val="32"/>
        </w:rPr>
        <w:t>目  录</w:t>
      </w:r>
    </w:p>
    <w:p>
      <w:pPr>
        <w:widowControl/>
        <w:shd w:val="clear" w:color="auto" w:fill="FFFFFF"/>
        <w:snapToGrid w:val="0"/>
        <w:spacing w:line="576" w:lineRule="exact"/>
        <w:jc w:val="center"/>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公开时间：2020年9月25日</w:t>
      </w:r>
    </w:p>
    <w:p>
      <w:pPr>
        <w:widowControl/>
        <w:shd w:val="clear" w:color="auto" w:fill="FFFFFF"/>
        <w:snapToGrid w:val="0"/>
        <w:spacing w:line="576" w:lineRule="exact"/>
        <w:jc w:val="center"/>
        <w:rPr>
          <w:rFonts w:ascii="Times New Roman" w:hAnsi="Times New Roman" w:eastAsia="宋体" w:cs="Times New Roman"/>
          <w:kern w:val="0"/>
          <w:sz w:val="32"/>
          <w:szCs w:val="32"/>
        </w:rPr>
      </w:pPr>
      <w:r>
        <w:rPr>
          <w:rFonts w:ascii="Times New Roman" w:hAnsi="Times New Roman" w:eastAsia="宋体" w:cs="Times New Roman"/>
          <w:kern w:val="0"/>
          <w:sz w:val="32"/>
          <w:szCs w:val="32"/>
        </w:rPr>
        <w:t> </w:t>
      </w:r>
    </w:p>
    <w:p>
      <w:pPr>
        <w:widowControl/>
        <w:shd w:val="clear" w:color="auto" w:fill="FFFFFF"/>
        <w:snapToGrid w:val="0"/>
        <w:spacing w:line="576" w:lineRule="exact"/>
        <w:rPr>
          <w:rFonts w:hint="eastAsia" w:ascii="仿宋_GB2312" w:hAnsi="仿宋_GB2312" w:eastAsia="仿宋_GB2312" w:cs="仿宋_GB2312"/>
          <w:kern w:val="0"/>
          <w:sz w:val="32"/>
          <w:szCs w:val="32"/>
        </w:rPr>
      </w:pPr>
      <w:r>
        <w:rPr>
          <w:rFonts w:hint="eastAsia" w:ascii="方正黑体_GBK" w:hAnsi="方正黑体_GBK" w:eastAsia="方正黑体_GBK" w:cs="方正黑体_GBK"/>
          <w:kern w:val="0"/>
          <w:sz w:val="32"/>
          <w:szCs w:val="32"/>
        </w:rPr>
        <w:t>第一部分  部门概况</w:t>
      </w:r>
      <w:r>
        <w:rPr>
          <w:rFonts w:hint="eastAsia" w:ascii="仿宋_GB2312" w:hAnsi="仿宋_GB2312" w:eastAsia="仿宋_GB2312" w:cs="仿宋_GB2312"/>
          <w:kern w:val="0"/>
          <w:sz w:val="32"/>
          <w:szCs w:val="32"/>
        </w:rPr>
        <w:t>…………………………………………2</w:t>
      </w:r>
    </w:p>
    <w:p>
      <w:pPr>
        <w:widowControl/>
        <w:shd w:val="clear" w:color="auto" w:fill="FFFFFF"/>
        <w:snapToGrid w:val="0"/>
        <w:spacing w:line="576" w:lineRule="exac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一、基本职能及主要工作……………………………………</w:t>
      </w:r>
      <w:r>
        <w:rPr>
          <w:rFonts w:hint="eastAsia" w:ascii="仿宋_GB2312" w:hAnsi="仿宋_GB2312" w:eastAsia="仿宋_GB2312" w:cs="仿宋_GB2312"/>
          <w:kern w:val="0"/>
          <w:sz w:val="32"/>
          <w:szCs w:val="32"/>
          <w:lang w:val="en-US" w:eastAsia="zh-CN"/>
        </w:rPr>
        <w:t>2</w:t>
      </w:r>
    </w:p>
    <w:p>
      <w:pPr>
        <w:widowControl/>
        <w:shd w:val="clear" w:color="auto" w:fill="FFFFFF"/>
        <w:snapToGrid w:val="0"/>
        <w:spacing w:line="576" w:lineRule="exac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二、机构设置…………………………………………………</w:t>
      </w:r>
      <w:r>
        <w:rPr>
          <w:rFonts w:hint="eastAsia" w:ascii="仿宋_GB2312" w:hAnsi="仿宋_GB2312" w:eastAsia="仿宋_GB2312" w:cs="仿宋_GB2312"/>
          <w:kern w:val="0"/>
          <w:sz w:val="32"/>
          <w:szCs w:val="32"/>
          <w:lang w:val="en-US" w:eastAsia="zh-CN"/>
        </w:rPr>
        <w:t>3</w:t>
      </w:r>
    </w:p>
    <w:p>
      <w:pPr>
        <w:widowControl/>
        <w:shd w:val="clear" w:color="auto" w:fill="FFFFFF"/>
        <w:snapToGrid w:val="0"/>
        <w:spacing w:line="576" w:lineRule="exact"/>
        <w:rPr>
          <w:rFonts w:hint="eastAsia" w:ascii="仿宋_GB2312" w:hAnsi="仿宋_GB2312" w:eastAsia="仿宋_GB2312" w:cs="仿宋_GB2312"/>
          <w:kern w:val="0"/>
          <w:sz w:val="32"/>
          <w:szCs w:val="32"/>
        </w:rPr>
      </w:pPr>
      <w:r>
        <w:rPr>
          <w:rFonts w:hint="eastAsia" w:ascii="方正黑体_GBK" w:hAnsi="方正黑体_GBK" w:eastAsia="方正黑体_GBK" w:cs="方正黑体_GBK"/>
          <w:kern w:val="0"/>
          <w:sz w:val="32"/>
          <w:szCs w:val="32"/>
        </w:rPr>
        <w:t>第二部分  部门决算情况说明</w:t>
      </w:r>
      <w:r>
        <w:rPr>
          <w:rFonts w:hint="eastAsia" w:ascii="仿宋_GB2312" w:hAnsi="仿宋_GB2312" w:eastAsia="仿宋_GB2312" w:cs="仿宋_GB2312"/>
          <w:kern w:val="0"/>
          <w:sz w:val="32"/>
          <w:szCs w:val="32"/>
        </w:rPr>
        <w:t>………………………………3</w:t>
      </w:r>
    </w:p>
    <w:p>
      <w:pPr>
        <w:widowControl/>
        <w:shd w:val="clear" w:color="auto" w:fill="FFFFFF"/>
        <w:snapToGrid w:val="0"/>
        <w:spacing w:line="576"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一、收入支出决算总体情况说明……………………………3</w:t>
      </w:r>
    </w:p>
    <w:p>
      <w:pPr>
        <w:widowControl/>
        <w:shd w:val="clear" w:color="auto" w:fill="FFFFFF"/>
        <w:snapToGrid w:val="0"/>
        <w:spacing w:line="576"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二、收入决算情况说明………………………………………3</w:t>
      </w:r>
    </w:p>
    <w:p>
      <w:pPr>
        <w:widowControl/>
        <w:shd w:val="clear" w:color="auto" w:fill="FFFFFF"/>
        <w:snapToGrid w:val="0"/>
        <w:spacing w:line="576" w:lineRule="exac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三、支出决算情况说明………………………………………</w:t>
      </w:r>
      <w:r>
        <w:rPr>
          <w:rFonts w:hint="eastAsia" w:ascii="仿宋_GB2312" w:hAnsi="仿宋_GB2312" w:eastAsia="仿宋_GB2312" w:cs="仿宋_GB2312"/>
          <w:kern w:val="0"/>
          <w:sz w:val="32"/>
          <w:szCs w:val="32"/>
          <w:lang w:val="en-US" w:eastAsia="zh-CN"/>
        </w:rPr>
        <w:t>4</w:t>
      </w:r>
    </w:p>
    <w:p>
      <w:pPr>
        <w:widowControl/>
        <w:shd w:val="clear" w:color="auto" w:fill="FFFFFF"/>
        <w:snapToGrid w:val="0"/>
        <w:spacing w:line="576"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四、财政拨款收入支出决算总体情况说明…………………4</w:t>
      </w:r>
    </w:p>
    <w:p>
      <w:pPr>
        <w:widowControl/>
        <w:shd w:val="clear" w:color="auto" w:fill="FFFFFF"/>
        <w:snapToGrid w:val="0"/>
        <w:spacing w:line="576"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五、一般公共预算财政拨款支出决算情况说明……………4</w:t>
      </w:r>
    </w:p>
    <w:p>
      <w:pPr>
        <w:widowControl/>
        <w:shd w:val="clear" w:color="auto" w:fill="FFFFFF"/>
        <w:snapToGrid w:val="0"/>
        <w:spacing w:line="576" w:lineRule="exac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六、一般公共预算财政拨款基本支出决算情况说明………</w:t>
      </w:r>
      <w:r>
        <w:rPr>
          <w:rFonts w:hint="eastAsia" w:ascii="仿宋_GB2312" w:hAnsi="仿宋_GB2312" w:eastAsia="仿宋_GB2312" w:cs="仿宋_GB2312"/>
          <w:kern w:val="0"/>
          <w:sz w:val="32"/>
          <w:szCs w:val="32"/>
          <w:lang w:val="en-US" w:eastAsia="zh-CN"/>
        </w:rPr>
        <w:t>6</w:t>
      </w:r>
    </w:p>
    <w:p>
      <w:pPr>
        <w:widowControl/>
        <w:shd w:val="clear" w:color="auto" w:fill="FFFFFF"/>
        <w:snapToGrid w:val="0"/>
        <w:spacing w:line="576" w:lineRule="exac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七、“三公”经费财政拨款支出决算情况说明……………</w:t>
      </w:r>
      <w:r>
        <w:rPr>
          <w:rFonts w:hint="eastAsia" w:ascii="仿宋_GB2312" w:hAnsi="仿宋_GB2312" w:eastAsia="仿宋_GB2312" w:cs="仿宋_GB2312"/>
          <w:kern w:val="0"/>
          <w:sz w:val="32"/>
          <w:szCs w:val="32"/>
          <w:lang w:val="en-US" w:eastAsia="zh-CN"/>
        </w:rPr>
        <w:t>6</w:t>
      </w:r>
    </w:p>
    <w:p>
      <w:pPr>
        <w:widowControl/>
        <w:shd w:val="clear" w:color="auto" w:fill="FFFFFF"/>
        <w:snapToGrid w:val="0"/>
        <w:spacing w:line="576"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八、政府性基金预算支出决算情况说明……………………6</w:t>
      </w:r>
    </w:p>
    <w:p>
      <w:pPr>
        <w:widowControl/>
        <w:shd w:val="clear" w:color="auto" w:fill="FFFFFF"/>
        <w:snapToGrid w:val="0"/>
        <w:spacing w:line="576" w:lineRule="exac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九、国有资本经营预算支出决算情况说明…………………</w:t>
      </w:r>
      <w:r>
        <w:rPr>
          <w:rFonts w:hint="eastAsia" w:ascii="仿宋_GB2312" w:hAnsi="仿宋_GB2312" w:eastAsia="仿宋_GB2312" w:cs="仿宋_GB2312"/>
          <w:kern w:val="0"/>
          <w:sz w:val="32"/>
          <w:szCs w:val="32"/>
          <w:lang w:val="en-US" w:eastAsia="zh-CN"/>
        </w:rPr>
        <w:t>7</w:t>
      </w:r>
    </w:p>
    <w:p>
      <w:pPr>
        <w:widowControl/>
        <w:shd w:val="clear" w:color="auto" w:fill="FFFFFF"/>
        <w:snapToGrid w:val="0"/>
        <w:spacing w:line="576" w:lineRule="exac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十、其他重要事项的情况说明………………………………</w:t>
      </w:r>
      <w:r>
        <w:rPr>
          <w:rFonts w:hint="eastAsia" w:ascii="仿宋_GB2312" w:hAnsi="仿宋_GB2312" w:eastAsia="仿宋_GB2312" w:cs="仿宋_GB2312"/>
          <w:kern w:val="0"/>
          <w:sz w:val="32"/>
          <w:szCs w:val="32"/>
          <w:lang w:val="en-US" w:eastAsia="zh-CN"/>
        </w:rPr>
        <w:t>7</w:t>
      </w:r>
    </w:p>
    <w:p>
      <w:pPr>
        <w:widowControl/>
        <w:shd w:val="clear" w:color="auto" w:fill="FFFFFF"/>
        <w:snapToGrid w:val="0"/>
        <w:spacing w:line="576" w:lineRule="exact"/>
        <w:rPr>
          <w:rFonts w:hint="eastAsia" w:ascii="黑体" w:hAnsi="黑体" w:eastAsia="黑体" w:cs="黑体"/>
          <w:kern w:val="0"/>
          <w:sz w:val="32"/>
          <w:szCs w:val="32"/>
        </w:rPr>
      </w:pPr>
      <w:r>
        <w:rPr>
          <w:rFonts w:hint="eastAsia" w:ascii="方正黑体_GBK" w:hAnsi="方正黑体_GBK" w:eastAsia="方正黑体_GBK" w:cs="方正黑体_GBK"/>
          <w:kern w:val="0"/>
          <w:sz w:val="32"/>
          <w:szCs w:val="32"/>
        </w:rPr>
        <w:t>第三部分  名词解释</w:t>
      </w:r>
      <w:r>
        <w:rPr>
          <w:rFonts w:hint="eastAsia" w:ascii="仿宋_GB2312" w:hAnsi="仿宋_GB2312" w:eastAsia="仿宋_GB2312" w:cs="仿宋_GB2312"/>
          <w:kern w:val="0"/>
          <w:sz w:val="32"/>
          <w:szCs w:val="32"/>
        </w:rPr>
        <w:t>…………………………………………8</w:t>
      </w:r>
    </w:p>
    <w:p>
      <w:pPr>
        <w:widowControl/>
        <w:shd w:val="clear" w:color="auto" w:fill="FFFFFF"/>
        <w:snapToGrid w:val="0"/>
        <w:spacing w:line="576" w:lineRule="exact"/>
        <w:rPr>
          <w:rFonts w:hint="default" w:ascii="黑体" w:hAnsi="黑体" w:eastAsia="仿宋_GB2312" w:cs="黑体"/>
          <w:kern w:val="0"/>
          <w:sz w:val="32"/>
          <w:szCs w:val="32"/>
          <w:lang w:val="en-US" w:eastAsia="zh-CN"/>
        </w:rPr>
      </w:pPr>
      <w:r>
        <w:rPr>
          <w:rFonts w:hint="eastAsia" w:ascii="方正黑体_GBK" w:hAnsi="方正黑体_GBK" w:eastAsia="方正黑体_GBK" w:cs="方正黑体_GBK"/>
          <w:kern w:val="0"/>
          <w:sz w:val="32"/>
          <w:szCs w:val="32"/>
        </w:rPr>
        <w:t>第四部分  附件</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10</w:t>
      </w:r>
    </w:p>
    <w:p>
      <w:pPr>
        <w:widowControl/>
        <w:shd w:val="clear" w:color="auto" w:fill="FFFFFF"/>
        <w:snapToGrid w:val="0"/>
        <w:spacing w:before="100" w:beforeAutospacing="1" w:after="100" w:afterAutospacing="1" w:line="576" w:lineRule="exact"/>
        <w:rPr>
          <w:rFonts w:ascii="Times New Roman" w:hAnsi="Times New Roman" w:eastAsia="宋体" w:cs="Times New Roman"/>
          <w:kern w:val="0"/>
          <w:sz w:val="24"/>
          <w:szCs w:val="24"/>
        </w:rPr>
      </w:pPr>
    </w:p>
    <w:p>
      <w:pPr>
        <w:widowControl/>
        <w:shd w:val="clear" w:color="auto" w:fill="FFFFFF"/>
        <w:adjustRightInd w:val="0"/>
        <w:snapToGrid w:val="0"/>
        <w:spacing w:line="576" w:lineRule="exact"/>
        <w:ind w:firstLine="480" w:firstLineChars="200"/>
        <w:jc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 </w:t>
      </w:r>
    </w:p>
    <w:p>
      <w:pPr>
        <w:widowControl/>
        <w:shd w:val="clear" w:color="auto" w:fill="FFFFFF"/>
        <w:adjustRightInd w:val="0"/>
        <w:snapToGrid w:val="0"/>
        <w:spacing w:line="576" w:lineRule="exact"/>
        <w:ind w:firstLine="640" w:firstLineChars="200"/>
        <w:jc w:val="center"/>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第一部分  部门概况</w:t>
      </w:r>
    </w:p>
    <w:p>
      <w:pPr>
        <w:pStyle w:val="9"/>
        <w:widowControl/>
        <w:shd w:val="clear" w:color="auto" w:fill="FFFFFF"/>
        <w:adjustRightInd w:val="0"/>
        <w:snapToGrid w:val="0"/>
        <w:spacing w:line="576" w:lineRule="exact"/>
        <w:ind w:firstLine="0" w:firstLineChars="0"/>
        <w:jc w:val="left"/>
        <w:rPr>
          <w:rFonts w:ascii="Times New Roman" w:hAnsi="Times New Roman" w:eastAsia="仿宋_GB2312" w:cs="Times New Roman"/>
          <w:kern w:val="0"/>
          <w:sz w:val="32"/>
          <w:szCs w:val="32"/>
        </w:rPr>
      </w:pPr>
    </w:p>
    <w:p>
      <w:pPr>
        <w:pStyle w:val="9"/>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jc w:val="left"/>
        <w:textAlignment w:val="auto"/>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一、基本职能及主要工作</w:t>
      </w:r>
    </w:p>
    <w:p>
      <w:pPr>
        <w:pStyle w:val="12"/>
        <w:adjustRightInd w:val="0"/>
        <w:snapToGrid w:val="0"/>
        <w:spacing w:before="0" w:line="576" w:lineRule="exact"/>
        <w:ind w:firstLine="600" w:firstLineChars="200"/>
        <w:rPr>
          <w:rFonts w:hint="eastAsia" w:hAnsi="Times New Roman"/>
          <w:color w:val="363636"/>
          <w:sz w:val="32"/>
          <w:szCs w:val="32"/>
        </w:rPr>
      </w:pPr>
      <w:r>
        <w:rPr>
          <w:color w:val="000000"/>
        </w:rPr>
        <w:t>主要负责马尔康地区中小学教材教辅、一般图书、藏文</w:t>
      </w:r>
      <w:r>
        <w:rPr>
          <w:rFonts w:hint="eastAsia"/>
          <w:color w:val="000000"/>
        </w:rPr>
        <w:t>图书等出版物的征订发行；负责</w:t>
      </w:r>
      <w:r>
        <w:rPr>
          <w:color w:val="000000"/>
        </w:rPr>
        <w:t>全州</w:t>
      </w:r>
      <w:r>
        <w:rPr>
          <w:rFonts w:hint="eastAsia"/>
          <w:color w:val="000000"/>
        </w:rPr>
        <w:t>新华书店</w:t>
      </w:r>
      <w:r>
        <w:rPr>
          <w:color w:val="000000"/>
        </w:rPr>
        <w:t>教材</w:t>
      </w:r>
      <w:r>
        <w:rPr>
          <w:rFonts w:hint="eastAsia"/>
          <w:color w:val="000000"/>
        </w:rPr>
        <w:t>教辅</w:t>
      </w:r>
      <w:r>
        <w:rPr>
          <w:color w:val="000000"/>
        </w:rPr>
        <w:t>、一般图书</w:t>
      </w:r>
      <w:r>
        <w:rPr>
          <w:rFonts w:hint="eastAsia"/>
          <w:color w:val="000000"/>
        </w:rPr>
        <w:t>的</w:t>
      </w:r>
      <w:r>
        <w:rPr>
          <w:color w:val="000000"/>
        </w:rPr>
        <w:t>中转</w:t>
      </w:r>
      <w:r>
        <w:rPr>
          <w:rFonts w:hint="eastAsia"/>
          <w:color w:val="000000"/>
        </w:rPr>
        <w:t>运输；负责</w:t>
      </w:r>
      <w:r>
        <w:rPr>
          <w:color w:val="000000"/>
        </w:rPr>
        <w:t>全州</w:t>
      </w:r>
      <w:r>
        <w:rPr>
          <w:rFonts w:hint="eastAsia"/>
          <w:color w:val="000000"/>
        </w:rPr>
        <w:t>新华书店主营业务的业务</w:t>
      </w:r>
      <w:r>
        <w:rPr>
          <w:color w:val="000000"/>
        </w:rPr>
        <w:t>指导</w:t>
      </w:r>
      <w:r>
        <w:rPr>
          <w:rFonts w:hint="eastAsia"/>
          <w:color w:val="000000"/>
        </w:rPr>
        <w:t>工作</w:t>
      </w:r>
      <w:r>
        <w:rPr>
          <w:rFonts w:hint="eastAsia" w:hAnsi="Times New Roman"/>
          <w:color w:val="363636"/>
          <w:sz w:val="32"/>
          <w:szCs w:val="32"/>
        </w:rPr>
        <w:t>。</w:t>
      </w:r>
    </w:p>
    <w:p>
      <w:pPr>
        <w:pStyle w:val="12"/>
        <w:adjustRightInd w:val="0"/>
        <w:snapToGrid w:val="0"/>
        <w:spacing w:before="0" w:line="576" w:lineRule="exact"/>
        <w:ind w:firstLine="640" w:firstLineChars="200"/>
        <w:rPr>
          <w:rFonts w:hint="eastAsia" w:hAnsi="Times New Roman"/>
          <w:sz w:val="32"/>
          <w:szCs w:val="32"/>
        </w:rPr>
      </w:pPr>
      <w:r>
        <w:rPr>
          <w:rFonts w:hint="eastAsia" w:hAnsi="Times New Roman"/>
          <w:sz w:val="32"/>
          <w:szCs w:val="32"/>
        </w:rPr>
        <w:t>阿坝州新华书店2019年重点工作如下：</w:t>
      </w:r>
    </w:p>
    <w:p>
      <w:pPr>
        <w:adjustRightInd w:val="0"/>
        <w:snapToGrid w:val="0"/>
        <w:spacing w:line="576"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1.扎实做好2019年春秋两季教材教辅的征订发行工作，对全州各县店2019年两季教材教辅征订发行工作做好业务指导。完成“课前到书”和“送书到校”工作。继续加强对各学校数字化产品的宣传力度。</w:t>
      </w:r>
    </w:p>
    <w:p>
      <w:pPr>
        <w:adjustRightInd w:val="0"/>
        <w:snapToGrid w:val="0"/>
        <w:spacing w:line="576"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2.做好门市经营管理工作。加强一般图书、文体用品、纺织品、文创产品的进、销、存、调、退、运、结算管理工作；做好政治读物、重点图书的征订发行工作。</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3.加强中转站管理工作。继续做好全州新华书店教材、教辅，一般图书收货、发货、退货及结算工作。</w:t>
      </w:r>
    </w:p>
    <w:p>
      <w:pPr>
        <w:spacing w:line="520" w:lineRule="exact"/>
        <w:ind w:firstLine="630"/>
        <w:jc w:val="left"/>
        <w:rPr>
          <w:rFonts w:ascii="仿宋_GB2312" w:hAnsi="宋体" w:eastAsia="仿宋_GB2312"/>
          <w:sz w:val="32"/>
          <w:szCs w:val="32"/>
          <w:lang w:bidi="bo-CN"/>
        </w:rPr>
      </w:pPr>
      <w:r>
        <w:rPr>
          <w:rFonts w:hint="eastAsia" w:ascii="仿宋_GB2312" w:hAnsi="Times New Roman" w:eastAsia="仿宋_GB2312" w:cs="Times New Roman"/>
          <w:sz w:val="32"/>
          <w:szCs w:val="32"/>
        </w:rPr>
        <w:t>4.</w:t>
      </w:r>
      <w:r>
        <w:rPr>
          <w:rFonts w:hint="eastAsia" w:ascii="仿宋_GB2312" w:hAnsi="仿宋_GB2312" w:eastAsia="仿宋_GB2312" w:cs="仿宋_GB2312"/>
          <w:sz w:val="32"/>
          <w:szCs w:val="32"/>
        </w:rPr>
        <w:t>积极开展文化惠民活动。</w:t>
      </w:r>
      <w:r>
        <w:rPr>
          <w:rFonts w:hint="eastAsia" w:ascii="仿宋_GB2312" w:hAnsi="宋体" w:eastAsia="仿宋_GB2312"/>
          <w:bCs/>
          <w:sz w:val="32"/>
          <w:szCs w:val="32"/>
        </w:rPr>
        <w:t>1月和3月，</w:t>
      </w:r>
      <w:r>
        <w:rPr>
          <w:rFonts w:hint="eastAsia" w:ascii="仿宋_GB2312" w:hAnsi="宋体" w:eastAsia="仿宋_GB2312"/>
          <w:sz w:val="32"/>
          <w:szCs w:val="32"/>
          <w:lang w:bidi="bo-CN"/>
        </w:rPr>
        <w:t>先后奔赴马尔康市松岗镇和脚木足乡开展下乡售书送书活动，为当地的师生和农牧民带去各类优秀图书1000余册</w:t>
      </w:r>
      <w:r>
        <w:rPr>
          <w:rFonts w:hint="eastAsia" w:ascii="仿宋_GB2312" w:hAnsi="宋体" w:eastAsia="仿宋_GB2312"/>
          <w:bCs/>
          <w:sz w:val="32"/>
          <w:szCs w:val="32"/>
        </w:rPr>
        <w:t>。11月，</w:t>
      </w:r>
      <w:r>
        <w:rPr>
          <w:rFonts w:hint="eastAsia" w:ascii="仿宋_GB2312" w:hAnsi="仿宋" w:eastAsia="仿宋_GB2312" w:cs="Arial"/>
          <w:sz w:val="32"/>
          <w:szCs w:val="32"/>
        </w:rPr>
        <w:t>根据省委宣传部《关于印发2019天府书展总体工作方案的通知》精神，</w:t>
      </w:r>
      <w:r>
        <w:rPr>
          <w:rFonts w:hint="eastAsia" w:ascii="仿宋_GB2312" w:hAnsi="方正小标宋简体" w:eastAsia="仿宋_GB2312" w:cs="方正小标宋简体"/>
          <w:sz w:val="32"/>
          <w:szCs w:val="32"/>
        </w:rPr>
        <w:t>开展“爱阅读 会生活”2019年天府书展活动，以分会场形式与</w:t>
      </w:r>
      <w:r>
        <w:rPr>
          <w:rFonts w:hint="eastAsia" w:ascii="仿宋_GB2312" w:hAnsi="仿宋" w:eastAsia="仿宋_GB2312" w:cs="Arial"/>
          <w:sz w:val="32"/>
          <w:szCs w:val="32"/>
        </w:rPr>
        <w:t>成都主会场形成联动响应，同时</w:t>
      </w:r>
      <w:r>
        <w:rPr>
          <w:rFonts w:hint="eastAsia" w:ascii="仿宋_GB2312" w:hAnsi="微软雅黑" w:eastAsia="仿宋_GB2312"/>
          <w:color w:val="333333"/>
          <w:sz w:val="32"/>
          <w:szCs w:val="32"/>
          <w:shd w:val="clear" w:color="auto" w:fill="FFFFFF"/>
        </w:rPr>
        <w:t>为松岗乡中心校的同学们送去各类</w:t>
      </w:r>
      <w:r>
        <w:rPr>
          <w:rFonts w:hint="eastAsia" w:ascii="仿宋_GB2312" w:hAnsi="ˎ̥" w:eastAsia="仿宋_GB2312"/>
          <w:color w:val="000000"/>
          <w:sz w:val="32"/>
          <w:szCs w:val="32"/>
        </w:rPr>
        <w:t>少儿、教辅类及文学书籍240余册，价值4900元。</w:t>
      </w:r>
      <w:r>
        <w:rPr>
          <w:rFonts w:hint="eastAsia" w:ascii="仿宋_GB2312" w:hAnsi="新宋体" w:eastAsia="仿宋_GB2312" w:cs="宋体"/>
          <w:sz w:val="32"/>
          <w:szCs w:val="32"/>
        </w:rPr>
        <w:t>完成了</w:t>
      </w:r>
      <w:r>
        <w:rPr>
          <w:rFonts w:hint="eastAsia" w:ascii="仿宋_GB2312" w:hAnsi="新宋体" w:eastAsia="仿宋_GB2312"/>
          <w:sz w:val="32"/>
          <w:szCs w:val="32"/>
        </w:rPr>
        <w:t>惠及全州广大僧侣、</w:t>
      </w:r>
      <w:r>
        <w:rPr>
          <w:rFonts w:hint="eastAsia" w:ascii="仿宋_GB2312" w:hAnsi="新宋体" w:eastAsia="仿宋_GB2312" w:cs="宋体"/>
          <w:sz w:val="32"/>
          <w:szCs w:val="32"/>
        </w:rPr>
        <w:t>有</w:t>
      </w:r>
      <w:r>
        <w:rPr>
          <w:rFonts w:hint="eastAsia" w:ascii="仿宋_GB2312" w:hAnsi="新宋体" w:eastAsia="仿宋_GB2312"/>
          <w:sz w:val="32"/>
          <w:szCs w:val="32"/>
        </w:rPr>
        <w:t>利于维护全州社会稳定的重大</w:t>
      </w:r>
      <w:r>
        <w:rPr>
          <w:rFonts w:hint="eastAsia" w:ascii="仿宋_GB2312" w:hAnsi="新宋体" w:eastAsia="仿宋_GB2312" w:cs="宋体"/>
          <w:sz w:val="32"/>
          <w:szCs w:val="32"/>
        </w:rPr>
        <w:t>政治任务——阿坝州</w:t>
      </w:r>
      <w:r>
        <w:rPr>
          <w:rFonts w:hint="eastAsia" w:ascii="仿宋_GB2312" w:hAnsi="楷体" w:eastAsia="仿宋_GB2312" w:cs="楷体"/>
          <w:bCs/>
          <w:sz w:val="32"/>
          <w:szCs w:val="32"/>
        </w:rPr>
        <w:t>寺庙书屋2019年补充出版物的配送货工作</w:t>
      </w:r>
      <w:r>
        <w:rPr>
          <w:rFonts w:hint="eastAsia" w:ascii="仿宋_GB2312" w:hAnsi="新宋体" w:eastAsia="仿宋_GB2312"/>
          <w:bCs/>
          <w:sz w:val="32"/>
          <w:szCs w:val="32"/>
        </w:rPr>
        <w:t>。</w:t>
      </w:r>
    </w:p>
    <w:p>
      <w:pPr>
        <w:widowControl/>
        <w:shd w:val="clear" w:color="auto" w:fill="FFFFFF"/>
        <w:adjustRightInd w:val="0"/>
        <w:snapToGrid w:val="0"/>
        <w:spacing w:line="576" w:lineRule="exact"/>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二、机构设置</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阿坝州新华书店2011年确定为公益性（二类）差额拨款事业单位，属二级预算单位。内设机构5个：办公室、财务室、教材发行室、图书经营部、中转室。</w:t>
      </w:r>
    </w:p>
    <w:p>
      <w:pPr>
        <w:widowControl/>
        <w:shd w:val="clear" w:color="auto" w:fill="FFFFFF"/>
        <w:adjustRightInd w:val="0"/>
        <w:snapToGrid w:val="0"/>
        <w:spacing w:line="576" w:lineRule="exact"/>
        <w:ind w:firstLine="640" w:firstLineChars="200"/>
        <w:jc w:val="center"/>
        <w:rPr>
          <w:rFonts w:hint="eastAsia" w:ascii="仿宋_GB2312" w:hAnsi="Times New Roman" w:eastAsia="仿宋_GB2312" w:cs="Times New Roman"/>
          <w:kern w:val="0"/>
          <w:sz w:val="32"/>
          <w:szCs w:val="32"/>
        </w:rPr>
      </w:pPr>
    </w:p>
    <w:p>
      <w:pPr>
        <w:widowControl/>
        <w:shd w:val="clear" w:color="auto" w:fill="FFFFFF"/>
        <w:adjustRightInd w:val="0"/>
        <w:snapToGrid w:val="0"/>
        <w:spacing w:line="576" w:lineRule="exact"/>
        <w:ind w:firstLine="640" w:firstLineChars="200"/>
        <w:jc w:val="center"/>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第二部分  部门决算情况说明</w:t>
      </w:r>
    </w:p>
    <w:p>
      <w:pPr>
        <w:pStyle w:val="9"/>
        <w:widowControl/>
        <w:shd w:val="clear" w:color="auto" w:fill="FFFFFF"/>
        <w:adjustRightInd w:val="0"/>
        <w:snapToGrid w:val="0"/>
        <w:spacing w:line="576" w:lineRule="exact"/>
        <w:ind w:firstLine="0" w:firstLineChars="0"/>
        <w:jc w:val="left"/>
        <w:rPr>
          <w:rFonts w:ascii="Times New Roman" w:hAnsi="Times New Roman" w:eastAsia="方正黑体_GBK" w:cs="Times New Roman"/>
          <w:kern w:val="0"/>
          <w:sz w:val="32"/>
          <w:szCs w:val="32"/>
        </w:rPr>
      </w:pPr>
    </w:p>
    <w:p>
      <w:pPr>
        <w:pStyle w:val="9"/>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jc w:val="left"/>
        <w:textAlignment w:val="auto"/>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一、收入支出决算总体情况说明</w:t>
      </w: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2019年度收入总计561.25万元，与2018年相比减少50.80万元，下降8.2%。支出总计692.09万元，与2018年相比增加89.73万元，增长14.89%。</w:t>
      </w: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主要变动原因是：1.收入减少的原因：2018年结转结余金额130.84万元；2.支出增加的原因：书城升级改造部分款项在2019年。</w:t>
      </w: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jc w:val="left"/>
        <w:textAlignment w:val="auto"/>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二、收入决算情况说明</w:t>
      </w: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jc w:val="left"/>
        <w:textAlignment w:val="auto"/>
        <w:rPr>
          <w:rFonts w:hint="eastAsia" w:ascii="仿宋_GB2312" w:hAnsi="Times New Roman" w:eastAsia="仿宋_GB2312" w:cs="Times New Roman"/>
          <w:kern w:val="0"/>
          <w:sz w:val="32"/>
          <w:szCs w:val="32"/>
        </w:rPr>
      </w:pPr>
      <w:r>
        <w:rPr>
          <w:rFonts w:hint="eastAsia" w:ascii="仿宋_GB2312" w:hAnsi="Times New Roman" w:eastAsia="仿宋_GB2312" w:cs="Times New Roman"/>
          <w:color w:val="000000"/>
          <w:sz w:val="32"/>
          <w:szCs w:val="32"/>
        </w:rPr>
        <w:t>2019年本年收入合计561.25万元，其中：一般公共预算财政拨款收入561.25万元，占100%。</w:t>
      </w: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jc w:val="left"/>
        <w:textAlignment w:val="auto"/>
        <w:rPr>
          <w:rFonts w:ascii="Times New Roman" w:hAnsi="Times New Roman" w:eastAsia="方正黑体_GBK" w:cs="Times New Roman"/>
          <w:kern w:val="0"/>
          <w:sz w:val="32"/>
          <w:szCs w:val="32"/>
        </w:rPr>
      </w:pP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jc w:val="left"/>
        <w:textAlignment w:val="auto"/>
        <w:rPr>
          <w:rFonts w:ascii="Times New Roman" w:hAnsi="Times New Roman" w:eastAsia="方正黑体_GBK" w:cs="Times New Roman"/>
          <w:kern w:val="0"/>
          <w:sz w:val="32"/>
          <w:szCs w:val="32"/>
        </w:rPr>
      </w:pPr>
      <w:r>
        <w:rPr>
          <w:rFonts w:ascii="Times New Roman" w:hAnsi="Times New Roman" w:eastAsia="仿宋_GB2312" w:cs="Times New Roman"/>
          <w:kern w:val="0"/>
          <w:sz w:val="32"/>
          <w:szCs w:val="32"/>
        </w:rPr>
        <w:drawing>
          <wp:anchor distT="0" distB="0" distL="0" distR="0" simplePos="0" relativeHeight="251660288" behindDoc="0" locked="0" layoutInCell="1" allowOverlap="1">
            <wp:simplePos x="0" y="0"/>
            <wp:positionH relativeFrom="column">
              <wp:posOffset>1809115</wp:posOffset>
            </wp:positionH>
            <wp:positionV relativeFrom="paragraph">
              <wp:posOffset>-14605</wp:posOffset>
            </wp:positionV>
            <wp:extent cx="2162175" cy="958850"/>
            <wp:effectExtent l="19050" t="0" r="9525" b="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jc w:val="left"/>
        <w:textAlignment w:val="auto"/>
        <w:rPr>
          <w:rFonts w:ascii="Times New Roman" w:hAnsi="Times New Roman" w:eastAsia="方正黑体_GBK" w:cs="Times New Roman"/>
          <w:kern w:val="0"/>
          <w:sz w:val="32"/>
          <w:szCs w:val="32"/>
        </w:rPr>
      </w:pP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jc w:val="left"/>
        <w:textAlignment w:val="auto"/>
        <w:rPr>
          <w:rFonts w:ascii="Times New Roman" w:hAnsi="Times New Roman" w:eastAsia="方正黑体_GBK" w:cs="Times New Roman"/>
          <w:kern w:val="0"/>
          <w:sz w:val="32"/>
          <w:szCs w:val="32"/>
        </w:rPr>
      </w:pP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jc w:val="left"/>
        <w:textAlignment w:val="auto"/>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三、支出决算情况说明</w:t>
      </w:r>
    </w:p>
    <w:p>
      <w:pPr>
        <w:adjustRightInd w:val="0"/>
        <w:snapToGrid w:val="0"/>
        <w:spacing w:line="576" w:lineRule="exact"/>
        <w:rPr>
          <w:rFonts w:hint="eastAsia" w:ascii="仿宋_GB2312" w:hAnsi="Times New Roman" w:eastAsia="仿宋_GB2312" w:cs="Times New Roman"/>
          <w:kern w:val="0"/>
          <w:sz w:val="32"/>
          <w:szCs w:val="32"/>
        </w:rPr>
      </w:pPr>
      <w:r>
        <w:rPr>
          <w:rFonts w:hint="eastAsia" w:ascii="仿宋_GB2312" w:hAnsi="Times New Roman" w:eastAsia="仿宋_GB2312" w:cs="Times New Roman"/>
          <w:color w:val="000000"/>
          <w:sz w:val="32"/>
          <w:szCs w:val="32"/>
        </w:rPr>
        <w:t>2019年本年支出合计692.09万元，其中：基本支出692.08万元，占100%。</w:t>
      </w:r>
    </w:p>
    <w:p>
      <w:pPr>
        <w:widowControl/>
        <w:shd w:val="clear" w:color="auto" w:fill="FFFFFF"/>
        <w:adjustRightInd w:val="0"/>
        <w:snapToGrid w:val="0"/>
        <w:spacing w:line="576" w:lineRule="exact"/>
        <w:ind w:firstLine="640" w:firstLineChars="200"/>
        <w:jc w:val="left"/>
        <w:rPr>
          <w:rFonts w:ascii="Times New Roman" w:hAnsi="Times New Roman" w:eastAsia="宋体" w:cs="Times New Roman"/>
          <w:kern w:val="0"/>
          <w:sz w:val="32"/>
          <w:szCs w:val="32"/>
        </w:rPr>
      </w:pPr>
      <w:r>
        <w:rPr>
          <w:rFonts w:ascii="Times New Roman" w:hAnsi="Times New Roman" w:eastAsia="宋体" w:cs="Times New Roman"/>
          <w:kern w:val="0"/>
          <w:sz w:val="32"/>
          <w:szCs w:val="32"/>
        </w:rPr>
        <w:drawing>
          <wp:anchor distT="0" distB="0" distL="0" distR="0" simplePos="0" relativeHeight="251658240" behindDoc="0" locked="0" layoutInCell="1" allowOverlap="1">
            <wp:simplePos x="0" y="0"/>
            <wp:positionH relativeFrom="column">
              <wp:posOffset>1557020</wp:posOffset>
            </wp:positionH>
            <wp:positionV relativeFrom="paragraph">
              <wp:posOffset>71755</wp:posOffset>
            </wp:positionV>
            <wp:extent cx="2644775" cy="1007110"/>
            <wp:effectExtent l="4445" t="4445" r="17780" b="1714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widowControl/>
        <w:shd w:val="clear" w:color="auto" w:fill="FFFFFF"/>
        <w:adjustRightInd w:val="0"/>
        <w:snapToGrid w:val="0"/>
        <w:spacing w:line="576" w:lineRule="exact"/>
        <w:ind w:firstLine="640" w:firstLineChars="200"/>
        <w:jc w:val="left"/>
        <w:rPr>
          <w:rFonts w:hint="eastAsia" w:ascii="Times New Roman" w:hAnsi="Times New Roman" w:eastAsia="宋体" w:cs="Times New Roman"/>
          <w:kern w:val="0"/>
          <w:sz w:val="32"/>
          <w:szCs w:val="32"/>
        </w:rPr>
      </w:pPr>
    </w:p>
    <w:p>
      <w:pPr>
        <w:widowControl/>
        <w:shd w:val="clear" w:color="auto" w:fill="FFFFFF"/>
        <w:adjustRightInd w:val="0"/>
        <w:snapToGrid w:val="0"/>
        <w:spacing w:line="576" w:lineRule="exact"/>
        <w:ind w:firstLine="640" w:firstLineChars="200"/>
        <w:jc w:val="left"/>
        <w:rPr>
          <w:rFonts w:hint="eastAsia" w:ascii="Times New Roman" w:hAnsi="Times New Roman" w:eastAsia="宋体" w:cs="Times New Roman"/>
          <w:kern w:val="0"/>
          <w:sz w:val="32"/>
          <w:szCs w:val="32"/>
        </w:rPr>
      </w:pPr>
    </w:p>
    <w:p>
      <w:pPr>
        <w:widowControl/>
        <w:shd w:val="clear" w:color="auto" w:fill="FFFFFF"/>
        <w:adjustRightInd w:val="0"/>
        <w:snapToGrid w:val="0"/>
        <w:spacing w:line="576" w:lineRule="exact"/>
        <w:ind w:firstLine="640" w:firstLineChars="200"/>
        <w:jc w:val="left"/>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四、财政拨款收入支出决算总体情况说明</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2019年度收入总计561.25万元，与2018年相比减少50.80万元，下降8.2%。支出总计692.09万元，与2018年相比增加89.73万元，增长14.89%。</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主要变动原因是：1.收入减少的原因：2018年结转结余金额130.84万元；2.支出增加的原因：书城升级改造部分款项在2019年。</w:t>
      </w:r>
    </w:p>
    <w:p>
      <w:pPr>
        <w:widowControl/>
        <w:shd w:val="clear" w:color="auto" w:fill="FFFFFF"/>
        <w:adjustRightInd w:val="0"/>
        <w:snapToGrid w:val="0"/>
        <w:spacing w:line="576" w:lineRule="exact"/>
        <w:ind w:firstLine="640" w:firstLineChars="200"/>
        <w:jc w:val="left"/>
        <w:rPr>
          <w:rFonts w:ascii="Times New Roman" w:hAnsi="Times New Roman" w:eastAsia="方正仿宋_GBK" w:cs="Times New Roman"/>
          <w:color w:val="000000"/>
          <w:sz w:val="32"/>
          <w:szCs w:val="32"/>
        </w:rPr>
      </w:pPr>
      <w:r>
        <w:rPr>
          <w:rFonts w:ascii="Times New Roman" w:hAnsi="Times New Roman" w:eastAsia="仿宋_GB2312" w:cs="Times New Roman"/>
          <w:kern w:val="0"/>
          <w:sz w:val="32"/>
          <w:szCs w:val="32"/>
        </w:rPr>
        <w:drawing>
          <wp:anchor distT="0" distB="0" distL="114300" distR="114300" simplePos="0" relativeHeight="251659264" behindDoc="0" locked="0" layoutInCell="1" allowOverlap="1">
            <wp:simplePos x="0" y="0"/>
            <wp:positionH relativeFrom="margin">
              <wp:posOffset>1270000</wp:posOffset>
            </wp:positionH>
            <wp:positionV relativeFrom="margin">
              <wp:posOffset>6040755</wp:posOffset>
            </wp:positionV>
            <wp:extent cx="3071495" cy="908050"/>
            <wp:effectExtent l="4445" t="4445" r="10160" b="20955"/>
            <wp:wrapSquare wrapText="bothSides"/>
            <wp:docPr id="1"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widowControl/>
        <w:shd w:val="clear" w:color="auto" w:fill="FFFFFF"/>
        <w:adjustRightInd w:val="0"/>
        <w:snapToGrid w:val="0"/>
        <w:spacing w:line="576" w:lineRule="exact"/>
        <w:ind w:firstLine="640" w:firstLineChars="200"/>
        <w:jc w:val="left"/>
        <w:rPr>
          <w:rFonts w:ascii="Times New Roman" w:hAnsi="Times New Roman" w:eastAsia="方正仿宋_GBK" w:cs="Times New Roman"/>
          <w:kern w:val="0"/>
          <w:sz w:val="32"/>
          <w:szCs w:val="32"/>
        </w:rPr>
      </w:pPr>
    </w:p>
    <w:p>
      <w:pPr>
        <w:widowControl/>
        <w:shd w:val="clear" w:color="auto" w:fill="FFFFFF"/>
        <w:adjustRightInd w:val="0"/>
        <w:snapToGrid w:val="0"/>
        <w:spacing w:line="576" w:lineRule="exact"/>
        <w:ind w:firstLine="640" w:firstLineChars="200"/>
        <w:jc w:val="left"/>
        <w:rPr>
          <w:rFonts w:ascii="Times New Roman" w:hAnsi="Times New Roman" w:eastAsia="方正仿宋_GBK" w:cs="Times New Roman"/>
          <w:kern w:val="0"/>
          <w:sz w:val="32"/>
          <w:szCs w:val="32"/>
        </w:rPr>
      </w:pPr>
    </w:p>
    <w:p>
      <w:pPr>
        <w:widowControl/>
        <w:shd w:val="clear" w:color="auto" w:fill="FFFFFF"/>
        <w:adjustRightInd w:val="0"/>
        <w:snapToGrid w:val="0"/>
        <w:spacing w:line="576" w:lineRule="exact"/>
        <w:ind w:firstLine="640" w:firstLineChars="200"/>
        <w:jc w:val="left"/>
        <w:rPr>
          <w:rFonts w:ascii="Times New Roman" w:hAnsi="Times New Roman" w:eastAsia="方正仿宋_GBK" w:cs="Times New Roman"/>
          <w:kern w:val="0"/>
          <w:sz w:val="32"/>
          <w:szCs w:val="32"/>
        </w:rPr>
      </w:pPr>
    </w:p>
    <w:p>
      <w:pPr>
        <w:widowControl/>
        <w:shd w:val="clear" w:color="auto" w:fill="FFFFFF"/>
        <w:adjustRightInd w:val="0"/>
        <w:snapToGrid w:val="0"/>
        <w:spacing w:line="576" w:lineRule="exact"/>
        <w:ind w:firstLine="640" w:firstLineChars="200"/>
        <w:jc w:val="left"/>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五、一般公共预算财政拨款支出决算情况说明</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2019年一般公共预算财政拨款支出692.09万元，主要用于以下方面:</w:t>
      </w:r>
      <w:r>
        <w:rPr>
          <w:rFonts w:hint="eastAsia" w:ascii="仿宋_GB2312" w:hAnsi="Times New Roman" w:eastAsia="仿宋_GB2312" w:cs="Times New Roman"/>
          <w:bCs/>
          <w:kern w:val="0"/>
          <w:sz w:val="32"/>
          <w:szCs w:val="32"/>
        </w:rPr>
        <w:t>文化旅游体育与传媒（类）支出</w:t>
      </w:r>
      <w:r>
        <w:rPr>
          <w:rFonts w:hint="eastAsia" w:ascii="仿宋_GB2312" w:hAnsi="Times New Roman" w:eastAsia="仿宋_GB2312" w:cs="Times New Roman"/>
          <w:kern w:val="0"/>
          <w:sz w:val="32"/>
          <w:szCs w:val="32"/>
        </w:rPr>
        <w:t>613.93万元，占88.71%；</w:t>
      </w:r>
      <w:r>
        <w:rPr>
          <w:rFonts w:hint="eastAsia" w:ascii="仿宋_GB2312" w:hAnsi="Times New Roman" w:eastAsia="仿宋_GB2312" w:cs="Times New Roman"/>
          <w:bCs/>
          <w:kern w:val="0"/>
          <w:sz w:val="32"/>
          <w:szCs w:val="32"/>
        </w:rPr>
        <w:t>社会保障和就业（类）</w:t>
      </w:r>
      <w:r>
        <w:rPr>
          <w:rFonts w:hint="eastAsia" w:ascii="仿宋_GB2312" w:hAnsi="Times New Roman" w:eastAsia="仿宋_GB2312" w:cs="Times New Roman"/>
          <w:kern w:val="0"/>
          <w:sz w:val="32"/>
          <w:szCs w:val="32"/>
        </w:rPr>
        <w:t>支出38.58万元，占5.57%；</w:t>
      </w:r>
      <w:r>
        <w:rPr>
          <w:rFonts w:hint="eastAsia" w:ascii="仿宋_GB2312" w:hAnsi="Times New Roman" w:eastAsia="仿宋_GB2312" w:cs="Times New Roman"/>
          <w:bCs/>
          <w:kern w:val="0"/>
          <w:sz w:val="32"/>
          <w:szCs w:val="32"/>
        </w:rPr>
        <w:t>卫生健康支出（类）</w:t>
      </w:r>
      <w:r>
        <w:rPr>
          <w:rFonts w:hint="eastAsia" w:ascii="仿宋_GB2312" w:hAnsi="Times New Roman" w:eastAsia="仿宋_GB2312" w:cs="Times New Roman"/>
          <w:kern w:val="0"/>
          <w:sz w:val="32"/>
          <w:szCs w:val="32"/>
        </w:rPr>
        <w:t>14.04万元，占2.03%；</w:t>
      </w:r>
      <w:r>
        <w:rPr>
          <w:rFonts w:hint="eastAsia" w:ascii="仿宋_GB2312" w:hAnsi="Times New Roman" w:eastAsia="仿宋_GB2312" w:cs="Times New Roman"/>
          <w:bCs/>
          <w:kern w:val="0"/>
          <w:sz w:val="32"/>
          <w:szCs w:val="32"/>
        </w:rPr>
        <w:t>住房保障支出（类）</w:t>
      </w:r>
      <w:r>
        <w:rPr>
          <w:rFonts w:hint="eastAsia" w:ascii="仿宋_GB2312" w:hAnsi="Times New Roman" w:eastAsia="仿宋_GB2312" w:cs="Times New Roman"/>
          <w:kern w:val="0"/>
          <w:sz w:val="32"/>
          <w:szCs w:val="32"/>
        </w:rPr>
        <w:t>25.54万元，3.69%。</w:t>
      </w:r>
    </w:p>
    <w:p>
      <w:pPr>
        <w:widowControl/>
        <w:shd w:val="clear" w:color="auto" w:fill="FFFFFF"/>
        <w:adjustRightInd w:val="0"/>
        <w:snapToGrid w:val="0"/>
        <w:spacing w:line="576" w:lineRule="exact"/>
        <w:ind w:firstLine="640" w:firstLineChars="200"/>
        <w:jc w:val="left"/>
        <w:rPr>
          <w:rFonts w:ascii="Times New Roman" w:hAnsi="Times New Roman" w:eastAsia="宋体" w:cs="Times New Roman"/>
          <w:kern w:val="0"/>
          <w:sz w:val="24"/>
          <w:szCs w:val="24"/>
        </w:rPr>
      </w:pPr>
      <w:r>
        <w:rPr>
          <w:rFonts w:ascii="Times New Roman" w:hAnsi="Times New Roman" w:eastAsia="方正仿宋_GBK" w:cs="Times New Roman"/>
          <w:color w:val="000000"/>
          <w:sz w:val="32"/>
          <w:szCs w:val="32"/>
        </w:rPr>
        <w:drawing>
          <wp:anchor distT="0" distB="0" distL="0" distR="0" simplePos="0" relativeHeight="251661312" behindDoc="0" locked="0" layoutInCell="1" allowOverlap="1">
            <wp:simplePos x="0" y="0"/>
            <wp:positionH relativeFrom="column">
              <wp:posOffset>1230630</wp:posOffset>
            </wp:positionH>
            <wp:positionV relativeFrom="paragraph">
              <wp:posOffset>-30480</wp:posOffset>
            </wp:positionV>
            <wp:extent cx="2987040" cy="1002030"/>
            <wp:effectExtent l="19050" t="0" r="22403" b="7137"/>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widowControl/>
        <w:shd w:val="clear" w:color="auto" w:fill="FFFFFF"/>
        <w:adjustRightInd w:val="0"/>
        <w:snapToGrid w:val="0"/>
        <w:spacing w:line="576" w:lineRule="exact"/>
        <w:ind w:firstLine="480" w:firstLineChars="200"/>
        <w:jc w:val="left"/>
        <w:rPr>
          <w:rFonts w:ascii="Times New Roman" w:hAnsi="Times New Roman" w:cs="Times New Roman"/>
          <w:kern w:val="0"/>
          <w:sz w:val="24"/>
          <w:szCs w:val="24"/>
        </w:rPr>
      </w:pPr>
    </w:p>
    <w:p>
      <w:pPr>
        <w:widowControl/>
        <w:shd w:val="clear" w:color="auto" w:fill="FFFFFF"/>
        <w:adjustRightInd w:val="0"/>
        <w:snapToGrid w:val="0"/>
        <w:spacing w:line="576" w:lineRule="exact"/>
        <w:jc w:val="left"/>
        <w:rPr>
          <w:rFonts w:ascii="Times New Roman" w:hAnsi="Times New Roman" w:cs="Times New Roman"/>
          <w:kern w:val="0"/>
          <w:sz w:val="24"/>
          <w:szCs w:val="24"/>
        </w:rPr>
      </w:pP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2019年一般公共预算支出决算数为692.09万元，完成预算100.00%。其中：</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1.文化旅游体育与传媒207（类）06（款）05（项）：支出决算为613.93万元，完成预算100%，</w:t>
      </w:r>
      <w:r>
        <w:rPr>
          <w:rStyle w:val="8"/>
          <w:rFonts w:hint="eastAsia" w:ascii="仿宋_GB2312" w:hAnsi="Times New Roman" w:eastAsia="仿宋_GB2312" w:cs="Times New Roman"/>
          <w:b w:val="0"/>
          <w:bCs w:val="0"/>
          <w:sz w:val="32"/>
          <w:szCs w:val="32"/>
        </w:rPr>
        <w:t>决算数等于预算数；</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2.社会保障和就业208（类）05（款）05（项）：支出决算为38.58万元，完成预算100%，</w:t>
      </w:r>
      <w:r>
        <w:rPr>
          <w:rStyle w:val="8"/>
          <w:rFonts w:hint="eastAsia" w:ascii="仿宋_GB2312" w:hAnsi="Times New Roman" w:eastAsia="仿宋_GB2312" w:cs="Times New Roman"/>
          <w:b w:val="0"/>
          <w:bCs w:val="0"/>
          <w:sz w:val="32"/>
          <w:szCs w:val="32"/>
        </w:rPr>
        <w:t>决算数等于预算数；</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3.卫生健康210（类）11（款）02（项）：支出决算为14.04万元，完成预算100%，</w:t>
      </w:r>
      <w:r>
        <w:rPr>
          <w:rStyle w:val="8"/>
          <w:rFonts w:hint="eastAsia" w:ascii="仿宋_GB2312" w:hAnsi="Times New Roman" w:eastAsia="仿宋_GB2312" w:cs="Times New Roman"/>
          <w:b w:val="0"/>
          <w:bCs w:val="0"/>
          <w:sz w:val="32"/>
          <w:szCs w:val="32"/>
        </w:rPr>
        <w:t>决算数等于预算数；</w:t>
      </w:r>
    </w:p>
    <w:p>
      <w:pPr>
        <w:adjustRightInd w:val="0"/>
        <w:snapToGrid w:val="0"/>
        <w:spacing w:line="576" w:lineRule="exact"/>
        <w:ind w:firstLine="640" w:firstLineChars="200"/>
        <w:rPr>
          <w:rFonts w:hint="eastAsia" w:ascii="仿宋_GB2312" w:hAnsi="Times New Roman" w:eastAsia="仿宋_GB2312" w:cs="Times New Roman"/>
          <w:b/>
          <w:sz w:val="32"/>
          <w:szCs w:val="32"/>
        </w:rPr>
      </w:pPr>
      <w:r>
        <w:rPr>
          <w:rStyle w:val="8"/>
          <w:rFonts w:hint="eastAsia" w:ascii="仿宋_GB2312" w:hAnsi="Times New Roman" w:eastAsia="仿宋_GB2312" w:cs="Times New Roman"/>
          <w:b w:val="0"/>
          <w:bCs w:val="0"/>
          <w:sz w:val="32"/>
          <w:szCs w:val="32"/>
        </w:rPr>
        <w:t>4．住房性保障221（类）02（款）01（项）：支出决算为25.54万元，完成预算100%，决算数等于预算数的。</w:t>
      </w:r>
    </w:p>
    <w:p>
      <w:pPr>
        <w:widowControl/>
        <w:shd w:val="clear" w:color="auto" w:fill="FFFFFF"/>
        <w:adjustRightInd w:val="0"/>
        <w:snapToGrid w:val="0"/>
        <w:spacing w:line="576" w:lineRule="exact"/>
        <w:rPr>
          <w:rFonts w:ascii="Times New Roman" w:hAnsi="Times New Roman" w:eastAsia="方正黑体_GBK" w:cs="Times New Roman"/>
          <w:kern w:val="0"/>
          <w:sz w:val="32"/>
          <w:szCs w:val="32"/>
        </w:rPr>
      </w:pPr>
      <w:r>
        <w:rPr>
          <w:rFonts w:ascii="Times New Roman" w:hAnsi="Times New Roman" w:eastAsia="宋体" w:cs="Times New Roman"/>
          <w:kern w:val="0"/>
          <w:sz w:val="24"/>
          <w:szCs w:val="24"/>
        </w:rPr>
        <w:drawing>
          <wp:anchor distT="0" distB="0" distL="0" distR="0" simplePos="0" relativeHeight="251662336" behindDoc="0" locked="0" layoutInCell="1" allowOverlap="1">
            <wp:simplePos x="0" y="0"/>
            <wp:positionH relativeFrom="column">
              <wp:posOffset>1163320</wp:posOffset>
            </wp:positionH>
            <wp:positionV relativeFrom="paragraph">
              <wp:posOffset>348615</wp:posOffset>
            </wp:positionV>
            <wp:extent cx="3321685" cy="1630680"/>
            <wp:effectExtent l="19050" t="0" r="11964" b="7011"/>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widowControl/>
        <w:shd w:val="clear" w:color="auto" w:fill="FFFFFF"/>
        <w:adjustRightInd w:val="0"/>
        <w:snapToGrid w:val="0"/>
        <w:spacing w:line="576" w:lineRule="exact"/>
        <w:rPr>
          <w:rFonts w:ascii="Times New Roman" w:hAnsi="Times New Roman" w:eastAsia="方正黑体_GBK" w:cs="Times New Roman"/>
          <w:kern w:val="0"/>
          <w:sz w:val="32"/>
          <w:szCs w:val="32"/>
        </w:rPr>
      </w:pPr>
    </w:p>
    <w:p>
      <w:pPr>
        <w:widowControl/>
        <w:shd w:val="clear" w:color="auto" w:fill="FFFFFF"/>
        <w:adjustRightInd w:val="0"/>
        <w:snapToGrid w:val="0"/>
        <w:spacing w:line="576" w:lineRule="exact"/>
        <w:rPr>
          <w:rFonts w:ascii="Times New Roman" w:hAnsi="Times New Roman" w:eastAsia="方正黑体_GBK" w:cs="Times New Roman"/>
          <w:kern w:val="0"/>
          <w:sz w:val="32"/>
          <w:szCs w:val="32"/>
        </w:rPr>
      </w:pPr>
    </w:p>
    <w:p>
      <w:pPr>
        <w:widowControl/>
        <w:shd w:val="clear" w:color="auto" w:fill="FFFFFF"/>
        <w:adjustRightInd w:val="0"/>
        <w:snapToGrid w:val="0"/>
        <w:spacing w:line="576" w:lineRule="exact"/>
        <w:rPr>
          <w:rFonts w:ascii="Times New Roman" w:hAnsi="Times New Roman" w:eastAsia="方正黑体_GBK" w:cs="Times New Roman"/>
          <w:kern w:val="0"/>
          <w:sz w:val="32"/>
          <w:szCs w:val="32"/>
        </w:rPr>
      </w:pP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六、一般公共预算财政拨款基本支出决算情况说明</w:t>
      </w: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2019年一般公共预算财政拨款基本支出692.09万元，其中：</w:t>
      </w: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人员经费329.54万元，主要包括，基本工资64.33万元、津贴补贴39.11万元、绩效工资106.64万元、机关事业单位基本养老保险缴费27.56万元、职业年金缴费11.02万元、职工基本 医疗保险缴费11.69万元、公务员医疗补助缴费2.35万元、其他社会保障缴费4.36万元、住房公积金25.54万元、医疗费4.97万元、抚恤金4.23万元、生活补助27.74万元。</w:t>
      </w: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日常公用经费362.55万元，主要包括：办公费1.53万元、水费0.58万元、电费0.77万元、邮电费3.82万元、差旅费8.45万元、维修费0.67万元、培训费2.45万元、专用材料费338.68万元、公务用车运行维护费5.60万元。</w:t>
      </w: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七、“三公”经费财政拨款支出决算情况说明</w:t>
      </w:r>
    </w:p>
    <w:p>
      <w:pPr>
        <w:widowControl/>
        <w:shd w:val="clear" w:color="auto" w:fill="FFFFFF"/>
        <w:adjustRightInd w:val="0"/>
        <w:snapToGrid w:val="0"/>
        <w:spacing w:line="576" w:lineRule="exact"/>
        <w:ind w:firstLine="643"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b/>
          <w:bCs/>
          <w:kern w:val="0"/>
          <w:sz w:val="32"/>
          <w:szCs w:val="32"/>
        </w:rPr>
        <w:t>（一）“三公”经费财政拨款支出决算总体情况说明</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2019年“三公”经费财政拨款支出决算为5.60万元。</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2019 年“三公”经费财政拨款支出决算中，公务用车购置及运行维护费支出决算5.60万元，占 0.92%。</w:t>
      </w:r>
    </w:p>
    <w:p>
      <w:pPr>
        <w:widowControl/>
        <w:shd w:val="clear" w:color="auto" w:fill="FFFFFF"/>
        <w:adjustRightInd w:val="0"/>
        <w:snapToGrid w:val="0"/>
        <w:spacing w:line="576"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drawing>
          <wp:anchor distT="0" distB="0" distL="0" distR="0" simplePos="0" relativeHeight="251663360" behindDoc="0" locked="0" layoutInCell="1" allowOverlap="1">
            <wp:simplePos x="0" y="0"/>
            <wp:positionH relativeFrom="column">
              <wp:posOffset>1501775</wp:posOffset>
            </wp:positionH>
            <wp:positionV relativeFrom="paragraph">
              <wp:posOffset>205740</wp:posOffset>
            </wp:positionV>
            <wp:extent cx="2258695" cy="811530"/>
            <wp:effectExtent l="19050" t="0" r="26797" b="7163"/>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widowControl/>
        <w:shd w:val="clear" w:color="auto" w:fill="FFFFFF"/>
        <w:adjustRightInd w:val="0"/>
        <w:snapToGrid w:val="0"/>
        <w:spacing w:line="576" w:lineRule="exact"/>
        <w:ind w:firstLine="640" w:firstLineChars="200"/>
        <w:rPr>
          <w:rFonts w:ascii="Times New Roman" w:hAnsi="Times New Roman" w:eastAsia="方正仿宋_GBK" w:cs="Times New Roman"/>
          <w:kern w:val="0"/>
          <w:sz w:val="32"/>
          <w:szCs w:val="32"/>
        </w:rPr>
      </w:pPr>
    </w:p>
    <w:p>
      <w:pPr>
        <w:widowControl/>
        <w:shd w:val="clear" w:color="auto" w:fill="FFFFFF"/>
        <w:adjustRightInd w:val="0"/>
        <w:snapToGrid w:val="0"/>
        <w:spacing w:line="576" w:lineRule="exact"/>
        <w:ind w:firstLine="640" w:firstLineChars="200"/>
        <w:rPr>
          <w:rFonts w:ascii="Times New Roman" w:hAnsi="Times New Roman" w:eastAsia="方正黑体_GBK" w:cs="Times New Roman"/>
          <w:kern w:val="0"/>
          <w:sz w:val="32"/>
          <w:szCs w:val="32"/>
        </w:rPr>
      </w:pP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仿宋_GBK" w:cs="Times New Roman"/>
          <w:kern w:val="0"/>
          <w:sz w:val="32"/>
          <w:szCs w:val="32"/>
        </w:rPr>
      </w:pPr>
      <w:r>
        <w:rPr>
          <w:rFonts w:ascii="Times New Roman" w:hAnsi="Times New Roman" w:eastAsia="方正黑体_GBK" w:cs="Times New Roman"/>
          <w:kern w:val="0"/>
          <w:sz w:val="32"/>
          <w:szCs w:val="32"/>
        </w:rPr>
        <w:t>八、政府性基金预算支出决算情况说明</w:t>
      </w: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2019年无政府性基金预算支出。</w:t>
      </w: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九、国有资本经营预算支出决算情况说明</w:t>
      </w: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2019年无国有资本经营预算拨款支出。</w:t>
      </w:r>
    </w:p>
    <w:p>
      <w:pPr>
        <w:keepNext w:val="0"/>
        <w:keepLines w:val="0"/>
        <w:pageBreakBefore w:val="0"/>
        <w:widowControl/>
        <w:shd w:val="clear" w:color="auto" w:fill="FFFFFF"/>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仿宋_GBK" w:cs="Times New Roman"/>
          <w:kern w:val="0"/>
          <w:sz w:val="32"/>
          <w:szCs w:val="32"/>
        </w:rPr>
      </w:pPr>
      <w:r>
        <w:rPr>
          <w:rFonts w:ascii="Times New Roman" w:hAnsi="Times New Roman" w:eastAsia="方正黑体_GBK" w:cs="Times New Roman"/>
          <w:kern w:val="0"/>
          <w:sz w:val="32"/>
          <w:szCs w:val="32"/>
        </w:rPr>
        <w:t>十、其他重要事项的情况说明 </w:t>
      </w:r>
    </w:p>
    <w:p>
      <w:pPr>
        <w:widowControl/>
        <w:shd w:val="clear" w:color="auto" w:fill="FFFFFF"/>
        <w:adjustRightInd w:val="0"/>
        <w:snapToGrid w:val="0"/>
        <w:spacing w:line="576" w:lineRule="exact"/>
        <w:ind w:firstLine="640" w:firstLineChars="200"/>
        <w:rPr>
          <w:rFonts w:ascii="Times New Roman" w:hAnsi="Times New Roman" w:eastAsia="方正楷体_GBK" w:cs="Times New Roman"/>
          <w:b/>
          <w:bCs/>
          <w:kern w:val="0"/>
          <w:sz w:val="32"/>
          <w:szCs w:val="32"/>
        </w:rPr>
      </w:pPr>
      <w:r>
        <w:rPr>
          <w:rFonts w:ascii="Times New Roman" w:hAnsi="Times New Roman" w:eastAsia="方正楷体_GBK" w:cs="Times New Roman"/>
          <w:b/>
          <w:bCs/>
          <w:kern w:val="0"/>
          <w:sz w:val="32"/>
          <w:szCs w:val="32"/>
        </w:rPr>
        <w:t>（一）机关运行经费支出情况</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2019年无机关运行经费。</w:t>
      </w:r>
    </w:p>
    <w:p>
      <w:pPr>
        <w:widowControl/>
        <w:shd w:val="clear" w:color="auto" w:fill="FFFFFF"/>
        <w:adjustRightInd w:val="0"/>
        <w:snapToGrid w:val="0"/>
        <w:spacing w:line="576" w:lineRule="exact"/>
        <w:ind w:firstLine="640" w:firstLineChars="200"/>
        <w:rPr>
          <w:rFonts w:ascii="Times New Roman" w:hAnsi="Times New Roman" w:eastAsia="方正楷体_GBK" w:cs="Times New Roman"/>
          <w:kern w:val="0"/>
          <w:sz w:val="32"/>
          <w:szCs w:val="32"/>
        </w:rPr>
      </w:pPr>
      <w:r>
        <w:rPr>
          <w:rFonts w:ascii="Times New Roman" w:hAnsi="Times New Roman" w:eastAsia="方正楷体_GBK" w:cs="Times New Roman"/>
          <w:b/>
          <w:bCs/>
          <w:kern w:val="0"/>
          <w:sz w:val="32"/>
          <w:szCs w:val="32"/>
        </w:rPr>
        <w:t>（二）政府采购支出情况</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2019年无政府采购。</w:t>
      </w:r>
    </w:p>
    <w:p>
      <w:pPr>
        <w:widowControl/>
        <w:shd w:val="clear" w:color="auto" w:fill="FFFFFF"/>
        <w:adjustRightInd w:val="0"/>
        <w:snapToGrid w:val="0"/>
        <w:spacing w:line="576" w:lineRule="exact"/>
        <w:ind w:firstLine="640" w:firstLineChars="200"/>
        <w:rPr>
          <w:rFonts w:ascii="Times New Roman" w:hAnsi="Times New Roman" w:eastAsia="方正楷体_GBK" w:cs="Times New Roman"/>
          <w:kern w:val="0"/>
          <w:sz w:val="32"/>
          <w:szCs w:val="32"/>
        </w:rPr>
      </w:pPr>
      <w:r>
        <w:rPr>
          <w:rFonts w:ascii="Times New Roman" w:hAnsi="Times New Roman" w:eastAsia="方正楷体_GBK" w:cs="Times New Roman"/>
          <w:b/>
          <w:bCs/>
          <w:kern w:val="0"/>
          <w:sz w:val="32"/>
          <w:szCs w:val="32"/>
        </w:rPr>
        <w:t>（三）国有资产占有使用情况</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截至2019年12月31日，四川省阿坝州新华书店（本级）共有车辆3辆，其中：主要领导干部用车0辆、机要通信用车0辆、应急保障用车0辆、执法执勤用车0辆、特种专业技术用车0辆、离退休干部用车0辆、其他用车3辆。</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主要是用于：全州各县新华书店调研及业务指导；中转室中转业务等工作；慰问退休人员。单价50万元以上通用设备0台（套），单价100万元以上专用设备0台（套）。</w:t>
      </w:r>
    </w:p>
    <w:p>
      <w:pPr>
        <w:widowControl/>
        <w:shd w:val="clear" w:color="auto" w:fill="FFFFFF"/>
        <w:adjustRightInd w:val="0"/>
        <w:snapToGrid w:val="0"/>
        <w:spacing w:line="576" w:lineRule="exact"/>
        <w:ind w:firstLine="640" w:firstLineChars="200"/>
        <w:rPr>
          <w:rFonts w:ascii="Times New Roman" w:hAnsi="Times New Roman" w:eastAsia="方正楷体_GBK" w:cs="Times New Roman"/>
          <w:kern w:val="0"/>
          <w:sz w:val="32"/>
          <w:szCs w:val="32"/>
        </w:rPr>
      </w:pPr>
      <w:r>
        <w:rPr>
          <w:rFonts w:ascii="Times New Roman" w:hAnsi="Times New Roman" w:eastAsia="方正楷体_GBK" w:cs="Times New Roman"/>
          <w:b/>
          <w:bCs/>
          <w:kern w:val="0"/>
          <w:sz w:val="32"/>
          <w:szCs w:val="32"/>
        </w:rPr>
        <w:t>（四）预算绩效管理情况</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根据预算绩效管理要求，本部门（单位）在年初预算编制阶段，组织对0项目（项目名称）开展了预算事前绩效评估，对0个项目编制了绩效目标，预算执行过程中，选取0个项目开展绩效监控，年终执行完毕后，对0个项目开展了绩效目标完成情况自评。</w:t>
      </w:r>
    </w:p>
    <w:p>
      <w:pPr>
        <w:adjustRightInd w:val="0"/>
        <w:snapToGrid w:val="0"/>
        <w:spacing w:line="576" w:lineRule="exact"/>
        <w:ind w:firstLine="640" w:firstLineChars="200"/>
        <w:rPr>
          <w:rFonts w:hint="eastAsia" w:ascii="仿宋_GB2312" w:hAnsi="Times New Roman" w:eastAsia="仿宋_GB2312" w:cs="Times New Roman"/>
          <w:b/>
          <w:sz w:val="32"/>
          <w:szCs w:val="32"/>
        </w:rPr>
      </w:pPr>
      <w:r>
        <w:rPr>
          <w:rFonts w:hint="eastAsia" w:ascii="仿宋_GB2312" w:hAnsi="Times New Roman" w:eastAsia="仿宋_GB2312" w:cs="Times New Roman"/>
          <w:kern w:val="0"/>
          <w:sz w:val="32"/>
          <w:szCs w:val="32"/>
        </w:rPr>
        <w:t>本部门按要求对2019年部门整体支出开展绩效自评，从评价情况来看：</w:t>
      </w:r>
      <w:r>
        <w:rPr>
          <w:rFonts w:hint="eastAsia" w:ascii="仿宋_GB2312" w:hAnsi="Times New Roman" w:eastAsia="仿宋_GB2312" w:cs="Times New Roman"/>
          <w:sz w:val="32"/>
          <w:szCs w:val="32"/>
        </w:rPr>
        <w:t>一是按照有关文件精神，实事求是填报人员信息，确保人员经费准确无误；二是项目支出严格执行州委、州政府的方针政策，按采购程序和要求进行项目采购；三是严格执行差旅费管理办法和公务接待制度，按标准执行公务接待费及公务用车运行费。</w:t>
      </w:r>
    </w:p>
    <w:p>
      <w:pPr>
        <w:widowControl/>
        <w:shd w:val="clear" w:color="auto" w:fill="FFFFFF"/>
        <w:adjustRightInd w:val="0"/>
        <w:snapToGrid w:val="0"/>
        <w:spacing w:line="576" w:lineRule="exact"/>
        <w:ind w:firstLine="640" w:firstLineChars="200"/>
        <w:rPr>
          <w:rFonts w:ascii="Times New Roman" w:hAnsi="Times New Roman" w:eastAsia="方正仿宋_GBK" w:cs="Times New Roman"/>
          <w:b/>
          <w:bCs/>
          <w:kern w:val="0"/>
          <w:sz w:val="32"/>
          <w:szCs w:val="32"/>
        </w:rPr>
      </w:pPr>
      <w:r>
        <w:rPr>
          <w:rFonts w:ascii="Times New Roman" w:hAnsi="Times New Roman" w:eastAsia="方正仿宋_GBK" w:cs="Times New Roman"/>
          <w:b/>
          <w:bCs/>
          <w:kern w:val="0"/>
          <w:sz w:val="32"/>
          <w:szCs w:val="32"/>
        </w:rPr>
        <w:t>1.项目绩效目标完成情况。</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本部门在2019年度无项目支出。</w:t>
      </w:r>
    </w:p>
    <w:p>
      <w:pPr>
        <w:widowControl/>
        <w:shd w:val="clear" w:color="auto" w:fill="FFFFFF"/>
        <w:adjustRightInd w:val="0"/>
        <w:snapToGrid w:val="0"/>
        <w:spacing w:line="576" w:lineRule="exact"/>
        <w:ind w:firstLine="640" w:firstLineChars="200"/>
        <w:rPr>
          <w:rFonts w:ascii="Times New Roman" w:hAnsi="Times New Roman" w:eastAsia="方正仿宋_GBK" w:cs="Times New Roman"/>
          <w:b/>
          <w:bCs/>
          <w:kern w:val="0"/>
          <w:sz w:val="32"/>
          <w:szCs w:val="32"/>
        </w:rPr>
      </w:pPr>
      <w:r>
        <w:rPr>
          <w:rFonts w:ascii="Times New Roman" w:hAnsi="Times New Roman" w:eastAsia="方正仿宋_GBK" w:cs="Times New Roman"/>
          <w:b/>
          <w:bCs/>
          <w:kern w:val="0"/>
          <w:sz w:val="32"/>
          <w:szCs w:val="32"/>
        </w:rPr>
        <w:t>2.部门绩效评价结果。</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32"/>
          <w:szCs w:val="32"/>
          <w:u w:color="000000"/>
        </w:rPr>
        <w:t>近年来，州新华书店按照国家的法律法规加强预算管理，严格开支标准，加强经费使用的监督管理，不断完善内控制度及行政单位会计核算制度，认真完成州委、州政府赋予的各项工作，项目支出绩效和财政资金使用情况较好</w:t>
      </w:r>
      <w:r>
        <w:rPr>
          <w:rFonts w:hint="eastAsia" w:ascii="仿宋_GB2312" w:hAnsi="Times New Roman" w:eastAsia="仿宋_GB2312" w:cs="Times New Roman"/>
          <w:kern w:val="0"/>
          <w:sz w:val="32"/>
          <w:szCs w:val="32"/>
        </w:rPr>
        <w:t>。</w:t>
      </w:r>
    </w:p>
    <w:p>
      <w:pPr>
        <w:widowControl/>
        <w:shd w:val="clear" w:color="auto" w:fill="FFFFFF"/>
        <w:adjustRightInd w:val="0"/>
        <w:snapToGrid w:val="0"/>
        <w:spacing w:line="576" w:lineRule="exact"/>
        <w:ind w:firstLine="640" w:firstLineChars="200"/>
        <w:jc w:val="center"/>
        <w:rPr>
          <w:rFonts w:ascii="Times New Roman" w:hAnsi="Times New Roman" w:eastAsia="方正仿宋_GBK" w:cs="Times New Roman"/>
          <w:kern w:val="0"/>
          <w:sz w:val="32"/>
          <w:szCs w:val="32"/>
        </w:rPr>
      </w:pPr>
    </w:p>
    <w:p>
      <w:pPr>
        <w:widowControl/>
        <w:shd w:val="clear" w:color="auto" w:fill="FFFFFF"/>
        <w:adjustRightInd w:val="0"/>
        <w:snapToGrid w:val="0"/>
        <w:spacing w:line="576" w:lineRule="exact"/>
        <w:ind w:firstLine="640" w:firstLineChars="200"/>
        <w:jc w:val="center"/>
        <w:rPr>
          <w:rFonts w:ascii="Times New Roman" w:hAnsi="Times New Roman" w:eastAsia="方正黑体_GBK" w:cs="Times New Roman"/>
          <w:kern w:val="0"/>
          <w:sz w:val="32"/>
          <w:szCs w:val="32"/>
        </w:rPr>
      </w:pPr>
      <w:r>
        <w:rPr>
          <w:rFonts w:ascii="Times New Roman" w:hAnsi="Times New Roman" w:eastAsia="方正黑体_GBK" w:cs="Times New Roman"/>
          <w:kern w:val="0"/>
          <w:sz w:val="32"/>
          <w:szCs w:val="32"/>
        </w:rPr>
        <w:t>第三部分  名词解释</w:t>
      </w:r>
    </w:p>
    <w:p>
      <w:pPr>
        <w:widowControl/>
        <w:shd w:val="clear" w:color="auto" w:fill="FFFFFF"/>
        <w:adjustRightInd w:val="0"/>
        <w:snapToGrid w:val="0"/>
        <w:spacing w:line="576" w:lineRule="exact"/>
        <w:ind w:firstLine="640" w:firstLineChars="200"/>
        <w:rPr>
          <w:rFonts w:ascii="Times New Roman" w:hAnsi="Times New Roman" w:eastAsia="方正仿宋_GBK" w:cs="Times New Roman"/>
          <w:kern w:val="0"/>
          <w:sz w:val="32"/>
          <w:szCs w:val="32"/>
        </w:rPr>
      </w:pP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ascii="Times New Roman" w:hAnsi="Times New Roman" w:eastAsia="方正仿宋_GBK" w:cs="Times New Roman"/>
          <w:kern w:val="0"/>
          <w:sz w:val="32"/>
          <w:szCs w:val="32"/>
        </w:rPr>
        <w:t>1.财政拨款收入：</w:t>
      </w:r>
      <w:r>
        <w:rPr>
          <w:rFonts w:hint="eastAsia" w:ascii="仿宋_GB2312" w:hAnsi="Times New Roman" w:eastAsia="仿宋_GB2312" w:cs="Times New Roman"/>
          <w:kern w:val="0"/>
          <w:sz w:val="32"/>
          <w:szCs w:val="32"/>
        </w:rPr>
        <w:t>指单位从同级财政部门取得的财政预算资金。</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ascii="Times New Roman" w:hAnsi="Times New Roman" w:eastAsia="方正仿宋_GBK" w:cs="Times New Roman"/>
          <w:kern w:val="0"/>
          <w:sz w:val="32"/>
          <w:szCs w:val="32"/>
        </w:rPr>
        <w:t>2.事业收入：</w:t>
      </w:r>
      <w:r>
        <w:rPr>
          <w:rFonts w:hint="eastAsia" w:ascii="仿宋_GB2312" w:hAnsi="Times New Roman" w:eastAsia="仿宋_GB2312" w:cs="Times New Roman"/>
          <w:kern w:val="0"/>
          <w:sz w:val="32"/>
          <w:szCs w:val="32"/>
        </w:rPr>
        <w:t>指事业单位开展专业业务活动及辅助活动取得的收入。如…（二级预算单位事业收入情况）等。</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ascii="Times New Roman" w:hAnsi="Times New Roman" w:eastAsia="方正仿宋_GBK" w:cs="Times New Roman"/>
          <w:kern w:val="0"/>
          <w:sz w:val="32"/>
          <w:szCs w:val="32"/>
        </w:rPr>
        <w:t>3.经营收入：</w:t>
      </w:r>
      <w:r>
        <w:rPr>
          <w:rFonts w:hint="eastAsia" w:ascii="仿宋_GB2312" w:hAnsi="Times New Roman" w:eastAsia="仿宋_GB2312" w:cs="Times New Roman"/>
          <w:kern w:val="0"/>
          <w:sz w:val="32"/>
          <w:szCs w:val="32"/>
        </w:rPr>
        <w:t>指事业单位在专业业务活动及其辅助活动之外开展非独立核算经营活动取得的收入。如…（二级预算单位经营收入情况）等。</w:t>
      </w:r>
    </w:p>
    <w:p>
      <w:pPr>
        <w:widowControl/>
        <w:shd w:val="clear" w:color="auto" w:fill="FFFFFF"/>
        <w:adjustRightInd w:val="0"/>
        <w:snapToGrid w:val="0"/>
        <w:spacing w:line="576"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4.其他收入：</w:t>
      </w:r>
      <w:r>
        <w:rPr>
          <w:rFonts w:hint="eastAsia" w:ascii="仿宋_GB2312" w:hAnsi="Times New Roman" w:eastAsia="仿宋_GB2312" w:cs="Times New Roman"/>
          <w:kern w:val="0"/>
          <w:sz w:val="32"/>
          <w:szCs w:val="32"/>
        </w:rPr>
        <w:t>指单位取得的除上述收入以外的各项收入。主要是…（收入类型）等。</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ascii="Times New Roman" w:hAnsi="Times New Roman" w:eastAsia="方正仿宋_GBK" w:cs="Times New Roman"/>
          <w:kern w:val="0"/>
          <w:sz w:val="32"/>
          <w:szCs w:val="32"/>
        </w:rPr>
        <w:t>5.用事业基金弥补收支差额：</w:t>
      </w:r>
      <w:r>
        <w:rPr>
          <w:rFonts w:hint="eastAsia" w:ascii="仿宋_GB2312" w:hAnsi="Times New Roman" w:eastAsia="仿宋_GB2312" w:cs="Times New Roman"/>
          <w:kern w:val="0"/>
          <w:sz w:val="32"/>
          <w:szCs w:val="32"/>
        </w:rPr>
        <w:t>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ascii="Times New Roman" w:hAnsi="Times New Roman" w:eastAsia="方正仿宋_GBK" w:cs="Times New Roman"/>
          <w:kern w:val="0"/>
          <w:sz w:val="32"/>
          <w:szCs w:val="32"/>
        </w:rPr>
        <w:t>6.年初结转和结余：</w:t>
      </w:r>
      <w:r>
        <w:rPr>
          <w:rFonts w:hint="eastAsia" w:ascii="仿宋_GB2312" w:hAnsi="Times New Roman" w:eastAsia="仿宋_GB2312" w:cs="Times New Roman"/>
          <w:kern w:val="0"/>
          <w:sz w:val="32"/>
          <w:szCs w:val="32"/>
        </w:rPr>
        <w:t>指以前年度尚未完成、结转到本年按有关规定继续使用的资金。</w:t>
      </w:r>
    </w:p>
    <w:p>
      <w:pPr>
        <w:widowControl/>
        <w:shd w:val="clear" w:color="auto" w:fill="FFFFFF"/>
        <w:adjustRightInd w:val="0"/>
        <w:snapToGrid w:val="0"/>
        <w:spacing w:line="576"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7.结余分配：</w:t>
      </w:r>
      <w:r>
        <w:rPr>
          <w:rFonts w:hint="eastAsia" w:ascii="仿宋_GB2312" w:hAnsi="Times New Roman" w:eastAsia="仿宋_GB2312" w:cs="Times New Roman"/>
          <w:kern w:val="0"/>
          <w:sz w:val="32"/>
          <w:szCs w:val="32"/>
        </w:rPr>
        <w:t>指事业单位按照事业单位会计制度的规定从非财政补助结余中分配的事业基金和职工福利基金等。</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ascii="Times New Roman" w:hAnsi="Times New Roman" w:eastAsia="方正仿宋_GBK" w:cs="Times New Roman"/>
          <w:kern w:val="0"/>
          <w:sz w:val="32"/>
          <w:szCs w:val="32"/>
        </w:rPr>
        <w:t>8.年末结转和结余：</w:t>
      </w:r>
      <w:r>
        <w:rPr>
          <w:rFonts w:hint="eastAsia" w:ascii="仿宋_GB2312" w:hAnsi="Times New Roman" w:eastAsia="仿宋_GB2312" w:cs="Times New Roman"/>
          <w:kern w:val="0"/>
          <w:sz w:val="32"/>
          <w:szCs w:val="32"/>
        </w:rPr>
        <w:t>指单位按有关规定结转到下年或以后年度继续使用的资金。</w:t>
      </w:r>
    </w:p>
    <w:p>
      <w:pPr>
        <w:widowControl/>
        <w:shd w:val="clear" w:color="auto" w:fill="FFFFFF"/>
        <w:adjustRightInd w:val="0"/>
        <w:snapToGrid w:val="0"/>
        <w:spacing w:line="576"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9.基本支出：</w:t>
      </w:r>
      <w:r>
        <w:rPr>
          <w:rFonts w:hint="eastAsia" w:ascii="仿宋_GB2312" w:hAnsi="Times New Roman" w:eastAsia="仿宋_GB2312" w:cs="Times New Roman"/>
          <w:kern w:val="0"/>
          <w:sz w:val="32"/>
          <w:szCs w:val="32"/>
        </w:rPr>
        <w:t>指为保障机构正常运转、完成日常工作任务而发生的人员支出和公用支出。</w:t>
      </w:r>
    </w:p>
    <w:p>
      <w:pPr>
        <w:widowControl/>
        <w:shd w:val="clear" w:color="auto" w:fill="FFFFFF"/>
        <w:adjustRightInd w:val="0"/>
        <w:snapToGrid w:val="0"/>
        <w:spacing w:line="576"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10.项目支出：</w:t>
      </w:r>
      <w:r>
        <w:rPr>
          <w:rFonts w:hint="eastAsia" w:ascii="仿宋_GB2312" w:hAnsi="Times New Roman" w:eastAsia="仿宋_GB2312" w:cs="Times New Roman"/>
          <w:kern w:val="0"/>
          <w:sz w:val="32"/>
          <w:szCs w:val="32"/>
        </w:rPr>
        <w:t>指在基本支出之外为完成特定行政任务和事业发展目标所发生的支出。</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ascii="Times New Roman" w:hAnsi="Times New Roman" w:eastAsia="方正仿宋_GBK" w:cs="Times New Roman"/>
          <w:kern w:val="0"/>
          <w:sz w:val="32"/>
          <w:szCs w:val="32"/>
        </w:rPr>
        <w:t>11.经营支出：</w:t>
      </w:r>
      <w:r>
        <w:rPr>
          <w:rFonts w:hint="eastAsia" w:ascii="仿宋_GB2312" w:hAnsi="Times New Roman" w:eastAsia="仿宋_GB2312" w:cs="Times New Roman"/>
          <w:kern w:val="0"/>
          <w:sz w:val="32"/>
          <w:szCs w:val="32"/>
        </w:rPr>
        <w:t>指事业单位在专业业务活动及其辅助活动之外开展非独立核算经营活动发生的支出。</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ascii="Times New Roman" w:hAnsi="Times New Roman" w:eastAsia="方正仿宋_GBK" w:cs="Times New Roman"/>
          <w:kern w:val="0"/>
          <w:sz w:val="32"/>
          <w:szCs w:val="32"/>
        </w:rPr>
        <w:t>12. “三公”经费：</w:t>
      </w:r>
      <w:r>
        <w:rPr>
          <w:rFonts w:hint="eastAsia" w:ascii="仿宋_GB2312" w:hAnsi="Times New Roman" w:eastAsia="仿宋_GB2312" w:cs="Times New Roman"/>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shd w:val="clear" w:color="auto" w:fill="FFFFFF"/>
        <w:adjustRightInd w:val="0"/>
        <w:snapToGrid w:val="0"/>
        <w:spacing w:line="576" w:lineRule="exact"/>
        <w:ind w:firstLine="640" w:firstLineChars="200"/>
        <w:rPr>
          <w:rFonts w:hint="eastAsia" w:ascii="仿宋_GB2312" w:hAnsi="Times New Roman" w:eastAsia="仿宋_GB2312" w:cs="Times New Roman"/>
          <w:kern w:val="0"/>
          <w:sz w:val="32"/>
          <w:szCs w:val="32"/>
        </w:rPr>
      </w:pPr>
      <w:r>
        <w:rPr>
          <w:rFonts w:ascii="Times New Roman" w:hAnsi="Times New Roman" w:eastAsia="方正仿宋_GBK" w:cs="Times New Roman"/>
          <w:kern w:val="0"/>
          <w:sz w:val="32"/>
          <w:szCs w:val="32"/>
        </w:rPr>
        <w:t>13.机关运行经费：</w:t>
      </w:r>
      <w:r>
        <w:rPr>
          <w:rFonts w:hint="eastAsia" w:ascii="仿宋_GB2312" w:hAnsi="Times New Roman" w:eastAsia="仿宋_GB2312" w:cs="Times New Roman"/>
          <w:kern w:val="0"/>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hd w:val="clear" w:color="auto" w:fill="FFFFFF"/>
        <w:adjustRightInd w:val="0"/>
        <w:snapToGrid w:val="0"/>
        <w:spacing w:line="576" w:lineRule="exact"/>
        <w:ind w:firstLine="640" w:firstLineChars="200"/>
        <w:jc w:val="center"/>
        <w:rPr>
          <w:rFonts w:ascii="Times New Roman" w:hAnsi="Times New Roman" w:eastAsia="方正小标宋_GBK" w:cs="Times New Roman"/>
          <w:kern w:val="0"/>
          <w:sz w:val="32"/>
          <w:szCs w:val="32"/>
        </w:rPr>
      </w:pPr>
    </w:p>
    <w:p>
      <w:pPr>
        <w:widowControl/>
        <w:shd w:val="clear" w:color="auto" w:fill="FFFFFF"/>
        <w:adjustRightInd w:val="0"/>
        <w:snapToGrid w:val="0"/>
        <w:spacing w:line="576" w:lineRule="exact"/>
        <w:ind w:firstLine="640" w:firstLineChars="200"/>
        <w:jc w:val="center"/>
        <w:rPr>
          <w:rFonts w:ascii="Times New Roman" w:hAnsi="Times New Roman" w:eastAsia="方正小标宋_GBK" w:cs="Times New Roman"/>
          <w:kern w:val="0"/>
          <w:sz w:val="32"/>
          <w:szCs w:val="32"/>
        </w:rPr>
      </w:pPr>
      <w:r>
        <w:rPr>
          <w:rFonts w:ascii="Times New Roman" w:hAnsi="Times New Roman" w:eastAsia="方正小标宋_GBK" w:cs="Times New Roman"/>
          <w:kern w:val="0"/>
          <w:sz w:val="32"/>
          <w:szCs w:val="32"/>
        </w:rPr>
        <w:t>第四部分  附件</w:t>
      </w:r>
    </w:p>
    <w:sectPr>
      <w:footerReference r:id="rId3" w:type="default"/>
      <w:pgSz w:w="11906" w:h="16838"/>
      <w:pgMar w:top="2098" w:right="1474" w:bottom="1984" w:left="1587" w:header="851" w:footer="992" w:gutter="0"/>
      <w:pgNumType w:fmt="numberInDash"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新宋体">
    <w:panose1 w:val="02010609030101010101"/>
    <w:charset w:val="86"/>
    <w:family w:val="modern"/>
    <w:pitch w:val="default"/>
    <w:sig w:usb0="0000028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2050" o:spid="_x0000_s2050"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3"/>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- 10 -</w:t>
                </w:r>
                <w:r>
                  <w:rPr>
                    <w:rFonts w:hint="eastAsia" w:ascii="宋体" w:hAnsi="宋体" w:eastAsia="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885A90"/>
    <w:rsid w:val="00014941"/>
    <w:rsid w:val="000378D9"/>
    <w:rsid w:val="000E1E79"/>
    <w:rsid w:val="00131126"/>
    <w:rsid w:val="001B76CF"/>
    <w:rsid w:val="001D5384"/>
    <w:rsid w:val="00266210"/>
    <w:rsid w:val="0028684E"/>
    <w:rsid w:val="0030597B"/>
    <w:rsid w:val="0032229A"/>
    <w:rsid w:val="00331427"/>
    <w:rsid w:val="003438A0"/>
    <w:rsid w:val="003532F5"/>
    <w:rsid w:val="003B2DB2"/>
    <w:rsid w:val="003C6F83"/>
    <w:rsid w:val="00437EA9"/>
    <w:rsid w:val="004B3D13"/>
    <w:rsid w:val="004F586E"/>
    <w:rsid w:val="005313C0"/>
    <w:rsid w:val="005A383F"/>
    <w:rsid w:val="006104AD"/>
    <w:rsid w:val="00610F25"/>
    <w:rsid w:val="0065348A"/>
    <w:rsid w:val="006D6121"/>
    <w:rsid w:val="00724565"/>
    <w:rsid w:val="00731E75"/>
    <w:rsid w:val="007B38FA"/>
    <w:rsid w:val="007F5D5C"/>
    <w:rsid w:val="00814D7B"/>
    <w:rsid w:val="008267AE"/>
    <w:rsid w:val="00830FCF"/>
    <w:rsid w:val="008528FF"/>
    <w:rsid w:val="00865BE1"/>
    <w:rsid w:val="00885A90"/>
    <w:rsid w:val="00892EA7"/>
    <w:rsid w:val="008E18FA"/>
    <w:rsid w:val="00925FA3"/>
    <w:rsid w:val="009851B4"/>
    <w:rsid w:val="009D6627"/>
    <w:rsid w:val="009E23A4"/>
    <w:rsid w:val="009E6A6E"/>
    <w:rsid w:val="00A117CF"/>
    <w:rsid w:val="00A7678F"/>
    <w:rsid w:val="00AD4543"/>
    <w:rsid w:val="00AF4B68"/>
    <w:rsid w:val="00B27585"/>
    <w:rsid w:val="00B42E3D"/>
    <w:rsid w:val="00B61424"/>
    <w:rsid w:val="00B87E9C"/>
    <w:rsid w:val="00BB2449"/>
    <w:rsid w:val="00BC2B56"/>
    <w:rsid w:val="00C155FD"/>
    <w:rsid w:val="00C24FD3"/>
    <w:rsid w:val="00C33C2E"/>
    <w:rsid w:val="00C71EB4"/>
    <w:rsid w:val="00CB082E"/>
    <w:rsid w:val="00CD298B"/>
    <w:rsid w:val="00D16F96"/>
    <w:rsid w:val="00D459C6"/>
    <w:rsid w:val="00D83D6A"/>
    <w:rsid w:val="00D87258"/>
    <w:rsid w:val="00D94A57"/>
    <w:rsid w:val="00DE3A5D"/>
    <w:rsid w:val="00DF7336"/>
    <w:rsid w:val="00EE2249"/>
    <w:rsid w:val="00EF362A"/>
    <w:rsid w:val="00F1064E"/>
    <w:rsid w:val="07EB3B5C"/>
    <w:rsid w:val="0AEE4F36"/>
    <w:rsid w:val="225A791B"/>
    <w:rsid w:val="3F4E366A"/>
    <w:rsid w:val="46442F81"/>
    <w:rsid w:val="59762BDE"/>
    <w:rsid w:val="66A27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paragraph" w:styleId="9">
    <w:name w:val="List Paragraph"/>
    <w:basedOn w:val="1"/>
    <w:qFormat/>
    <w:uiPriority w:val="34"/>
    <w:pPr>
      <w:ind w:firstLine="420" w:firstLineChars="200"/>
    </w:p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paragraph" w:customStyle="1" w:styleId="12">
    <w:name w:val="正文文本1"/>
    <w:basedOn w:val="1"/>
    <w:uiPriority w:val="0"/>
    <w:pPr>
      <w:spacing w:before="93"/>
    </w:pPr>
    <w:rPr>
      <w:rFonts w:ascii="仿宋_GB2312" w:hAnsi="仿宋_GB2312" w:eastAsia="仿宋_GB2312" w:cs="Times New Roman"/>
      <w:kern w:val="0"/>
      <w:sz w:val="30"/>
      <w:szCs w:val="20"/>
    </w:rPr>
  </w:style>
  <w:style w:type="character" w:customStyle="1" w:styleId="13">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9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explosion val="0"/>
          <c:dPt>
            <c:idx val="0"/>
            <c:bubble3D val="0"/>
          </c:dPt>
          <c:dLbls>
            <c:delete val="1"/>
          </c:dLbls>
          <c:cat>
            <c:strRef>
              <c:f>Sheet1!$A$2</c:f>
              <c:strCache>
                <c:ptCount val="1"/>
                <c:pt idx="0">
                  <c:v>2019年</c:v>
                </c:pt>
              </c:strCache>
            </c:strRef>
          </c:cat>
          <c:val>
            <c:numRef>
              <c:f>Sheet1!$B$2</c:f>
              <c:numCache>
                <c:formatCode>General</c:formatCode>
                <c:ptCount val="1"/>
                <c:pt idx="0">
                  <c:v>561.25</c:v>
                </c:pt>
              </c:numCache>
            </c:numRef>
          </c:val>
        </c:ser>
        <c:ser>
          <c:idx val="1"/>
          <c:order val="1"/>
          <c:tx>
            <c:strRef>
              <c:f>Sheet1!$C$1</c:f>
              <c:strCache>
                <c:ptCount val="1"/>
                <c:pt idx="0">
                  <c:v>一般公共预算财政拨款收入</c:v>
                </c:pt>
              </c:strCache>
            </c:strRef>
          </c:tx>
          <c:explosion val="0"/>
          <c:dPt>
            <c:idx val="0"/>
            <c:bubble3D val="0"/>
          </c:dPt>
          <c:dLbls>
            <c:delete val="1"/>
          </c:dLbls>
          <c:cat>
            <c:strRef>
              <c:f>Sheet1!$A$2</c:f>
              <c:strCache>
                <c:ptCount val="1"/>
                <c:pt idx="0">
                  <c:v>2019年</c:v>
                </c:pt>
              </c:strCache>
            </c:strRef>
          </c:cat>
          <c:val>
            <c:numRef>
              <c:f>Sheet1!$C$2</c:f>
              <c:numCache>
                <c:formatCode>General</c:formatCode>
                <c:ptCount val="1"/>
                <c:pt idx="0">
                  <c:v>561.25</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支出</c:v>
                </c:pt>
              </c:strCache>
            </c:strRef>
          </c:tx>
          <c:invertIfNegative val="0"/>
          <c:dLbls>
            <c:delete val="1"/>
          </c:dLbls>
          <c:cat>
            <c:strRef>
              <c:f>Sheet1!$A$2</c:f>
              <c:strCache>
                <c:ptCount val="1"/>
                <c:pt idx="0">
                  <c:v>2019年</c:v>
                </c:pt>
              </c:strCache>
            </c:strRef>
          </c:cat>
          <c:val>
            <c:numRef>
              <c:f>Sheet1!$B$2</c:f>
              <c:numCache>
                <c:formatCode>General</c:formatCode>
                <c:ptCount val="1"/>
                <c:pt idx="0">
                  <c:v>692.09</c:v>
                </c:pt>
              </c:numCache>
            </c:numRef>
          </c:val>
        </c:ser>
        <c:ser>
          <c:idx val="1"/>
          <c:order val="1"/>
          <c:tx>
            <c:strRef>
              <c:f>Sheet1!$C$1</c:f>
              <c:strCache>
                <c:ptCount val="1"/>
                <c:pt idx="0">
                  <c:v>基本支出</c:v>
                </c:pt>
              </c:strCache>
            </c:strRef>
          </c:tx>
          <c:invertIfNegative val="0"/>
          <c:dLbls>
            <c:delete val="1"/>
          </c:dLbls>
          <c:cat>
            <c:strRef>
              <c:f>Sheet1!$A$2</c:f>
              <c:strCache>
                <c:ptCount val="1"/>
                <c:pt idx="0">
                  <c:v>2019年</c:v>
                </c:pt>
              </c:strCache>
            </c:strRef>
          </c:cat>
          <c:val>
            <c:numRef>
              <c:f>Sheet1!$C$2</c:f>
              <c:numCache>
                <c:formatCode>General</c:formatCode>
                <c:ptCount val="1"/>
                <c:pt idx="0">
                  <c:v>692.09</c:v>
                </c:pt>
              </c:numCache>
            </c:numRef>
          </c:val>
        </c:ser>
        <c:dLbls>
          <c:showLegendKey val="0"/>
          <c:showVal val="0"/>
          <c:showCatName val="0"/>
          <c:showSerName val="0"/>
          <c:showPercent val="0"/>
          <c:showBubbleSize val="0"/>
        </c:dLbls>
        <c:gapWidth val="150"/>
        <c:axId val="105711104"/>
        <c:axId val="105712640"/>
      </c:barChart>
      <c:catAx>
        <c:axId val="10571110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712640"/>
        <c:crosses val="autoZero"/>
        <c:auto val="1"/>
        <c:lblAlgn val="ctr"/>
        <c:lblOffset val="100"/>
        <c:noMultiLvlLbl val="0"/>
      </c:catAx>
      <c:valAx>
        <c:axId val="10571264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71110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79377357501288"/>
          <c:y val="0.164365031294165"/>
          <c:w val="0.62032336090816"/>
          <c:h val="0.569357414239305"/>
        </c:manualLayout>
      </c:layout>
      <c:barChart>
        <c:barDir val="col"/>
        <c:grouping val="clustered"/>
        <c:varyColors val="0"/>
        <c:ser>
          <c:idx val="0"/>
          <c:order val="0"/>
          <c:tx>
            <c:strRef>
              <c:f>Sheet1!$B$1</c:f>
              <c:strCache>
                <c:ptCount val="1"/>
                <c:pt idx="0">
                  <c:v>收入</c:v>
                </c:pt>
              </c:strCache>
            </c:strRef>
          </c:tx>
          <c:invertIfNegative val="0"/>
          <c:dLbls>
            <c:delete val="1"/>
          </c:dLbls>
          <c:cat>
            <c:strRef>
              <c:f>Sheet1!$A$2:$A$3</c:f>
              <c:strCache>
                <c:ptCount val="2"/>
                <c:pt idx="0">
                  <c:v>2018年</c:v>
                </c:pt>
                <c:pt idx="1">
                  <c:v>2019年</c:v>
                </c:pt>
              </c:strCache>
            </c:strRef>
          </c:cat>
          <c:val>
            <c:numRef>
              <c:f>Sheet1!$B$2:$B$3</c:f>
              <c:numCache>
                <c:formatCode>General</c:formatCode>
                <c:ptCount val="2"/>
                <c:pt idx="0">
                  <c:v>612.049999999999</c:v>
                </c:pt>
                <c:pt idx="1">
                  <c:v>561.25</c:v>
                </c:pt>
              </c:numCache>
            </c:numRef>
          </c:val>
        </c:ser>
        <c:ser>
          <c:idx val="1"/>
          <c:order val="1"/>
          <c:tx>
            <c:strRef>
              <c:f>Sheet1!$C$1</c:f>
              <c:strCache>
                <c:ptCount val="1"/>
                <c:pt idx="0">
                  <c:v>支出</c:v>
                </c:pt>
              </c:strCache>
            </c:strRef>
          </c:tx>
          <c:invertIfNegative val="0"/>
          <c:dLbls>
            <c:delete val="1"/>
          </c:dLbls>
          <c:cat>
            <c:strRef>
              <c:f>Sheet1!$A$2:$A$3</c:f>
              <c:strCache>
                <c:ptCount val="2"/>
                <c:pt idx="0">
                  <c:v>2018年</c:v>
                </c:pt>
                <c:pt idx="1">
                  <c:v>2019年</c:v>
                </c:pt>
              </c:strCache>
            </c:strRef>
          </c:cat>
          <c:val>
            <c:numRef>
              <c:f>Sheet1!$C$2:$C$3</c:f>
              <c:numCache>
                <c:formatCode>General</c:formatCode>
                <c:ptCount val="2"/>
                <c:pt idx="0">
                  <c:v>612.049999999999</c:v>
                </c:pt>
                <c:pt idx="1">
                  <c:v>692.09</c:v>
                </c:pt>
              </c:numCache>
            </c:numRef>
          </c:val>
        </c:ser>
        <c:dLbls>
          <c:showLegendKey val="0"/>
          <c:showVal val="0"/>
          <c:showCatName val="0"/>
          <c:showSerName val="0"/>
          <c:showPercent val="0"/>
          <c:showBubbleSize val="0"/>
        </c:dLbls>
        <c:gapWidth val="150"/>
        <c:axId val="72693248"/>
        <c:axId val="72712192"/>
      </c:barChart>
      <c:catAx>
        <c:axId val="7269324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2712192"/>
        <c:crosses val="autoZero"/>
        <c:auto val="1"/>
        <c:lblAlgn val="ctr"/>
        <c:lblOffset val="100"/>
        <c:noMultiLvlLbl val="0"/>
      </c:catAx>
      <c:valAx>
        <c:axId val="727121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269324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2018</c:v>
                </c:pt>
              </c:strCache>
            </c:strRef>
          </c:tx>
          <c:invertIfNegative val="0"/>
          <c:dLbls>
            <c:delete val="1"/>
          </c:dLbls>
          <c:cat>
            <c:strRef>
              <c:f>Sheet1!$A$2:$A$3</c:f>
              <c:strCache>
                <c:ptCount val="2"/>
                <c:pt idx="0">
                  <c:v>财政拨款收入</c:v>
                </c:pt>
                <c:pt idx="1">
                  <c:v>财政拨款支出</c:v>
                </c:pt>
              </c:strCache>
            </c:strRef>
          </c:cat>
          <c:val>
            <c:numRef>
              <c:f>Sheet1!$B$2:$B$3</c:f>
              <c:numCache>
                <c:formatCode>General</c:formatCode>
                <c:ptCount val="2"/>
                <c:pt idx="0">
                  <c:v>612.049999999999</c:v>
                </c:pt>
                <c:pt idx="1">
                  <c:v>602.359999999999</c:v>
                </c:pt>
              </c:numCache>
            </c:numRef>
          </c:val>
        </c:ser>
        <c:ser>
          <c:idx val="1"/>
          <c:order val="1"/>
          <c:tx>
            <c:strRef>
              <c:f>Sheet1!$C$1</c:f>
              <c:strCache>
                <c:ptCount val="1"/>
                <c:pt idx="0">
                  <c:v>2019</c:v>
                </c:pt>
              </c:strCache>
            </c:strRef>
          </c:tx>
          <c:invertIfNegative val="0"/>
          <c:dLbls>
            <c:delete val="1"/>
          </c:dLbls>
          <c:cat>
            <c:strRef>
              <c:f>Sheet1!$A$2:$A$3</c:f>
              <c:strCache>
                <c:ptCount val="2"/>
                <c:pt idx="0">
                  <c:v>财政拨款收入</c:v>
                </c:pt>
                <c:pt idx="1">
                  <c:v>财政拨款支出</c:v>
                </c:pt>
              </c:strCache>
            </c:strRef>
          </c:cat>
          <c:val>
            <c:numRef>
              <c:f>Sheet1!$C$2:$C$3</c:f>
              <c:numCache>
                <c:formatCode>General</c:formatCode>
                <c:ptCount val="2"/>
                <c:pt idx="0">
                  <c:v>561.25</c:v>
                </c:pt>
                <c:pt idx="1">
                  <c:v>692.09</c:v>
                </c:pt>
              </c:numCache>
            </c:numRef>
          </c:val>
        </c:ser>
        <c:dLbls>
          <c:showLegendKey val="0"/>
          <c:showVal val="0"/>
          <c:showCatName val="0"/>
          <c:showSerName val="0"/>
          <c:showPercent val="0"/>
          <c:showBubbleSize val="0"/>
        </c:dLbls>
        <c:gapWidth val="150"/>
        <c:axId val="213727488"/>
        <c:axId val="221224960"/>
      </c:barChart>
      <c:catAx>
        <c:axId val="21372748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21224960"/>
        <c:crosses val="autoZero"/>
        <c:auto val="1"/>
        <c:lblAlgn val="ctr"/>
        <c:lblOffset val="100"/>
        <c:noMultiLvlLbl val="0"/>
      </c:catAx>
      <c:valAx>
        <c:axId val="22122496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1372748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2019年</c:v>
                </c:pt>
              </c:strCache>
            </c:strRef>
          </c:tx>
          <c:explosion val="0"/>
          <c:dPt>
            <c:idx val="0"/>
            <c:bubble3D val="0"/>
          </c:dPt>
          <c:dPt>
            <c:idx val="1"/>
            <c:bubble3D val="0"/>
          </c:dPt>
          <c:dPt>
            <c:idx val="2"/>
            <c:bubble3D val="0"/>
          </c:dPt>
          <c:dPt>
            <c:idx val="3"/>
            <c:bubble3D val="0"/>
          </c:dPt>
          <c:dLbls>
            <c:delete val="1"/>
          </c:dLbls>
          <c:cat>
            <c:strRef>
              <c:f>Sheet1!$A$2:$A$5</c:f>
              <c:strCache>
                <c:ptCount val="4"/>
                <c:pt idx="0">
                  <c:v>文化旅游体育与传媒支出</c:v>
                </c:pt>
                <c:pt idx="1">
                  <c:v>社会保障和就业支出</c:v>
                </c:pt>
                <c:pt idx="2">
                  <c:v>卫生健康支出</c:v>
                </c:pt>
                <c:pt idx="3">
                  <c:v>住房保障支出</c:v>
                </c:pt>
              </c:strCache>
            </c:strRef>
          </c:cat>
          <c:val>
            <c:numRef>
              <c:f>Sheet1!$B$2:$B$5</c:f>
              <c:numCache>
                <c:formatCode>General</c:formatCode>
                <c:ptCount val="4"/>
                <c:pt idx="0">
                  <c:v>613.929999999999</c:v>
                </c:pt>
                <c:pt idx="1">
                  <c:v>38.58</c:v>
                </c:pt>
                <c:pt idx="2">
                  <c:v>14.04</c:v>
                </c:pt>
                <c:pt idx="3">
                  <c:v>25.54</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1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公务用车运行维护费</c:v>
                </c:pt>
              </c:strCache>
            </c:strRef>
          </c:tx>
          <c:explosion val="0"/>
          <c:dPt>
            <c:idx val="0"/>
            <c:bubble3D val="0"/>
          </c:dPt>
          <c:dLbls>
            <c:delete val="1"/>
          </c:dLbls>
          <c:cat>
            <c:strRef>
              <c:f>Sheet1!$A$2</c:f>
              <c:strCache>
                <c:ptCount val="1"/>
                <c:pt idx="0">
                  <c:v>2019年</c:v>
                </c:pt>
              </c:strCache>
            </c:strRef>
          </c:cat>
          <c:val>
            <c:numRef>
              <c:f>Sheet1!$B$2</c:f>
              <c:numCache>
                <c:formatCode>General</c:formatCode>
                <c:ptCount val="1"/>
                <c:pt idx="0">
                  <c:v>5.6</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60A84F-4DAB-43FC-AECC-999BFF121FD5}">
  <ds:schemaRefs/>
</ds:datastoreItem>
</file>

<file path=docProps/app.xml><?xml version="1.0" encoding="utf-8"?>
<Properties xmlns="http://schemas.openxmlformats.org/officeDocument/2006/extended-properties" xmlns:vt="http://schemas.openxmlformats.org/officeDocument/2006/docPropsVTypes">
  <Template>Normal.dotm</Template>
  <Company>Win10NeT.COM</Company>
  <Pages>11</Pages>
  <Words>641</Words>
  <Characters>3660</Characters>
  <Lines>30</Lines>
  <Paragraphs>8</Paragraphs>
  <TotalTime>234</TotalTime>
  <ScaleCrop>false</ScaleCrop>
  <LinksUpToDate>false</LinksUpToDate>
  <CharactersWithSpaces>4293</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2020-09-25T09:20:00Z</dcterms:created>
  <dc:creator>pc</dc:creator>
  <cp:lastModifiedBy>Jayk</cp:lastModifiedBy>
  <cp:lastPrinted>2020-09-28T07:51:00Z</cp:lastPrinted>
  <dcterms:modified xsi:type="dcterms:W3CDTF">2020-09-28T08:35:26Z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