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5135B">
      <w:pPr>
        <w:widowControl/>
        <w:jc w:val="center"/>
        <w:rPr>
          <w:rFonts w:hint="eastAsia" w:ascii="方正小标宋_GBK" w:hAnsi="方正小标宋_GBK" w:eastAsia="方正小标宋_GBK" w:cs="方正小标宋_GBK"/>
          <w:sz w:val="48"/>
          <w:szCs w:val="48"/>
        </w:rPr>
      </w:pPr>
    </w:p>
    <w:p w14:paraId="7E946ED5">
      <w:pPr>
        <w:widowControl/>
        <w:rPr>
          <w:rFonts w:hint="eastAsia" w:ascii="方正小标宋_GBK" w:hAnsi="方正小标宋_GBK" w:eastAsia="方正小标宋_GBK" w:cs="方正小标宋_GBK"/>
          <w:sz w:val="48"/>
          <w:szCs w:val="48"/>
        </w:rPr>
      </w:pPr>
    </w:p>
    <w:p w14:paraId="1F6CED6C">
      <w:pPr>
        <w:widowControl/>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2024年度</w:t>
      </w:r>
    </w:p>
    <w:p w14:paraId="30DD0E72">
      <w:pPr>
        <w:pStyle w:val="2"/>
        <w:jc w:val="center"/>
      </w:pPr>
      <w:r>
        <w:rPr>
          <w:rFonts w:hint="eastAsia" w:ascii="方正小标宋_GBK" w:hAnsi="方正小标宋_GBK" w:eastAsia="方正小标宋_GBK" w:cs="方正小标宋_GBK"/>
          <w:sz w:val="48"/>
          <w:szCs w:val="48"/>
        </w:rPr>
        <w:t>阿坝州电影服务中心单位决算</w:t>
      </w:r>
    </w:p>
    <w:p w14:paraId="2B7FE676">
      <w:pPr>
        <w:widowControl/>
        <w:jc w:val="center"/>
        <w:rPr>
          <w:rFonts w:eastAsia="黑体"/>
          <w:sz w:val="48"/>
          <w:szCs w:val="48"/>
        </w:rPr>
      </w:pPr>
    </w:p>
    <w:p w14:paraId="64B8F570">
      <w:pPr>
        <w:widowControl/>
        <w:jc w:val="center"/>
        <w:rPr>
          <w:rFonts w:eastAsia="黑体"/>
          <w:sz w:val="48"/>
          <w:szCs w:val="48"/>
        </w:rPr>
      </w:pPr>
      <w:r>
        <w:rPr>
          <w:rFonts w:hint="eastAsia" w:eastAsia="黑体"/>
          <w:sz w:val="48"/>
          <w:szCs w:val="48"/>
        </w:rPr>
        <w:object>
          <v:shape id="_x0000_i1025" o:spt="75" type="#_x0000_t75" style="height:17pt;width:17pt;" o:ole="t" filled="f" o:preferrelative="t" stroked="f" coordsize="21600,21600">
            <v:path/>
            <v:fill on="f" focussize="0,0"/>
            <v:stroke on="f" joinstyle="miter"/>
            <v:imagedata r:id="rId13" o:title=""/>
            <o:lock v:ext="edit" aspectratio="t"/>
            <w10:wrap type="none"/>
            <w10:anchorlock/>
          </v:shape>
          <o:OLEObject Type="Embed" ProgID="FoxitReader.Document" ShapeID="_x0000_i1025" DrawAspect="Content" ObjectID="_1468075725" r:id="rId12">
            <o:LockedField>false</o:LockedField>
          </o:OLEObject>
        </w:object>
      </w:r>
    </w:p>
    <w:p w14:paraId="26ACA8D9">
      <w:pPr>
        <w:widowControl/>
        <w:jc w:val="center"/>
        <w:rPr>
          <w:rFonts w:eastAsia="黑体"/>
          <w:sz w:val="48"/>
          <w:szCs w:val="48"/>
        </w:rPr>
      </w:pPr>
    </w:p>
    <w:p w14:paraId="48D65A88">
      <w:pPr>
        <w:pStyle w:val="2"/>
        <w:rPr>
          <w:rFonts w:eastAsia="黑体"/>
          <w:sz w:val="48"/>
          <w:szCs w:val="48"/>
        </w:rPr>
      </w:pPr>
    </w:p>
    <w:p w14:paraId="625BFB1B">
      <w:pPr>
        <w:pStyle w:val="3"/>
        <w:ind w:left="420" w:firstLine="960"/>
        <w:rPr>
          <w:rFonts w:eastAsia="黑体"/>
          <w:sz w:val="48"/>
          <w:szCs w:val="48"/>
        </w:rPr>
      </w:pPr>
    </w:p>
    <w:p w14:paraId="7DBD23A1">
      <w:pPr>
        <w:pStyle w:val="3"/>
        <w:ind w:left="420" w:firstLine="960"/>
        <w:rPr>
          <w:rFonts w:eastAsia="黑体"/>
          <w:sz w:val="48"/>
          <w:szCs w:val="48"/>
        </w:rPr>
      </w:pPr>
    </w:p>
    <w:p w14:paraId="5C0CDC1C">
      <w:pPr>
        <w:pStyle w:val="3"/>
        <w:ind w:left="420" w:firstLine="960"/>
        <w:rPr>
          <w:rFonts w:eastAsia="黑体"/>
          <w:sz w:val="48"/>
          <w:szCs w:val="48"/>
        </w:rPr>
      </w:pPr>
    </w:p>
    <w:p w14:paraId="74650B7D">
      <w:pPr>
        <w:pStyle w:val="3"/>
        <w:ind w:left="420" w:firstLine="960"/>
        <w:rPr>
          <w:rFonts w:eastAsia="黑体"/>
          <w:sz w:val="48"/>
          <w:szCs w:val="48"/>
        </w:rPr>
      </w:pPr>
    </w:p>
    <w:p w14:paraId="6376BB23">
      <w:pPr>
        <w:widowControl/>
        <w:jc w:val="center"/>
        <w:rPr>
          <w:rFonts w:eastAsia="黑体"/>
          <w:sz w:val="48"/>
          <w:szCs w:val="48"/>
        </w:rPr>
      </w:pPr>
    </w:p>
    <w:p w14:paraId="5CF609F3">
      <w:pPr>
        <w:widowControl/>
        <w:jc w:val="center"/>
        <w:rPr>
          <w:rFonts w:eastAsia="黑体"/>
          <w:sz w:val="48"/>
          <w:szCs w:val="48"/>
        </w:rPr>
      </w:pPr>
      <w:r>
        <w:rPr>
          <w:rFonts w:hint="eastAsia" w:eastAsia="黑体"/>
          <w:sz w:val="32"/>
          <w:szCs w:val="32"/>
        </w:rPr>
        <w:t>已经保密审查、内容审定，同意对外公开</w:t>
      </w:r>
    </w:p>
    <w:p w14:paraId="65E8A01E">
      <w:pPr>
        <w:widowControl/>
        <w:jc w:val="center"/>
        <w:rPr>
          <w:rFonts w:eastAsia="黑体"/>
          <w:sz w:val="48"/>
          <w:szCs w:val="48"/>
        </w:rPr>
      </w:pPr>
    </w:p>
    <w:p w14:paraId="5F15876F">
      <w:pPr>
        <w:widowControl/>
        <w:jc w:val="center"/>
        <w:rPr>
          <w:rFonts w:eastAsia="黑体"/>
          <w:sz w:val="48"/>
          <w:szCs w:val="48"/>
        </w:rPr>
      </w:pPr>
    </w:p>
    <w:p w14:paraId="173224B6">
      <w:pPr>
        <w:widowControl/>
        <w:ind w:firstLine="3840" w:firstLineChars="800"/>
        <w:rPr>
          <w:rFonts w:hint="eastAsia" w:eastAsia="黑体"/>
          <w:sz w:val="48"/>
          <w:szCs w:val="48"/>
        </w:rPr>
      </w:pPr>
    </w:p>
    <w:p w14:paraId="7520FEC7">
      <w:pPr>
        <w:widowControl/>
        <w:ind w:firstLine="3840" w:firstLineChars="800"/>
        <w:rPr>
          <w:rFonts w:hint="eastAsia" w:eastAsia="黑体"/>
          <w:sz w:val="48"/>
          <w:szCs w:val="48"/>
        </w:rPr>
      </w:pPr>
    </w:p>
    <w:p w14:paraId="471F1BCA">
      <w:pPr>
        <w:widowControl/>
        <w:ind w:firstLine="3840" w:firstLineChars="800"/>
        <w:rPr>
          <w:rFonts w:eastAsia="黑体"/>
          <w:sz w:val="48"/>
          <w:szCs w:val="48"/>
        </w:rPr>
      </w:pPr>
      <w:r>
        <w:rPr>
          <w:rFonts w:hint="eastAsia" w:eastAsia="黑体"/>
          <w:sz w:val="48"/>
          <w:szCs w:val="48"/>
        </w:rPr>
        <w:t>目 录</w:t>
      </w:r>
    </w:p>
    <w:p w14:paraId="0F7A005C">
      <w:pPr>
        <w:widowControl/>
        <w:jc w:val="center"/>
        <w:rPr>
          <w:rFonts w:eastAsia="黑体" w:cstheme="minorBidi"/>
          <w:sz w:val="28"/>
          <w:szCs w:val="28"/>
        </w:rPr>
      </w:pPr>
    </w:p>
    <w:p w14:paraId="566C7315">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公开时间：2025年9月 18 日</w:t>
      </w:r>
    </w:p>
    <w:p w14:paraId="1987C62C"/>
    <w:p w14:paraId="08CA3BC9">
      <w:pPr>
        <w:pStyle w:val="13"/>
        <w:tabs>
          <w:tab w:val="left" w:leader="dot" w:pos="798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r>
        <w:rPr>
          <w:rFonts w:ascii="Times New Roman" w:hAnsi="Times New Roman" w:eastAsia="黑体" w:cs="黑体"/>
          <w:sz w:val="32"/>
          <w:szCs w:val="32"/>
        </w:rPr>
        <w:tab/>
      </w:r>
      <w:r>
        <w:rPr>
          <w:rFonts w:hint="eastAsia" w:ascii="Times New Roman" w:hAnsi="Times New Roman" w:eastAsia="黑体" w:cs="黑体"/>
          <w:sz w:val="32"/>
          <w:szCs w:val="32"/>
        </w:rPr>
        <w:t>1</w:t>
      </w:r>
    </w:p>
    <w:p w14:paraId="51645187">
      <w:pPr>
        <w:pStyle w:val="14"/>
        <w:numPr>
          <w:ilvl w:val="0"/>
          <w:numId w:val="1"/>
        </w:numPr>
        <w:tabs>
          <w:tab w:val="left" w:leader="dot" w:pos="7980"/>
        </w:tabs>
        <w:adjustRightInd w:val="0"/>
        <w:snapToGrid w:val="0"/>
        <w:spacing w:line="560" w:lineRule="exact"/>
        <w:ind w:leftChars="0"/>
        <w:jc w:val="left"/>
        <w:rPr>
          <w:rFonts w:eastAsia="仿宋_GB2312" w:cs="仿宋_GB2312"/>
          <w:sz w:val="32"/>
          <w:szCs w:val="32"/>
        </w:rPr>
      </w:pPr>
      <w:r>
        <w:rPr>
          <w:rFonts w:hint="eastAsia" w:eastAsia="仿宋_GB2312" w:cs="仿宋_GB2312"/>
          <w:sz w:val="32"/>
          <w:szCs w:val="32"/>
        </w:rPr>
        <w:t>部门职责</w:t>
      </w:r>
      <w:r>
        <w:rPr>
          <w:rFonts w:eastAsia="仿宋_GB2312" w:cs="仿宋_GB2312"/>
          <w:sz w:val="32"/>
          <w:szCs w:val="32"/>
        </w:rPr>
        <w:tab/>
      </w:r>
      <w:r>
        <w:rPr>
          <w:rFonts w:hint="eastAsia" w:eastAsia="仿宋_GB2312" w:cs="仿宋_GB2312"/>
          <w:sz w:val="32"/>
          <w:szCs w:val="32"/>
        </w:rPr>
        <w:t>1</w:t>
      </w:r>
    </w:p>
    <w:p w14:paraId="10989B23">
      <w:pPr>
        <w:tabs>
          <w:tab w:val="left" w:leader="dot" w:pos="7980"/>
        </w:tabs>
      </w:pPr>
    </w:p>
    <w:p w14:paraId="49844131">
      <w:pPr>
        <w:pStyle w:val="14"/>
        <w:numPr>
          <w:ilvl w:val="0"/>
          <w:numId w:val="1"/>
        </w:numPr>
        <w:tabs>
          <w:tab w:val="left" w:leader="dot" w:pos="7980"/>
        </w:tabs>
        <w:adjustRightInd w:val="0"/>
        <w:snapToGrid w:val="0"/>
        <w:spacing w:line="560" w:lineRule="exact"/>
        <w:ind w:leftChars="0"/>
        <w:jc w:val="left"/>
        <w:rPr>
          <w:rFonts w:eastAsia="仿宋_GB2312" w:cs="仿宋_GB2312"/>
          <w:sz w:val="32"/>
          <w:szCs w:val="32"/>
        </w:rPr>
      </w:pPr>
      <w:r>
        <w:rPr>
          <w:rFonts w:hint="eastAsia" w:eastAsia="仿宋_GB2312" w:cs="仿宋_GB2312"/>
          <w:sz w:val="32"/>
          <w:szCs w:val="32"/>
        </w:rPr>
        <w:t>机构设置</w:t>
      </w:r>
      <w:r>
        <w:rPr>
          <w:rFonts w:eastAsia="仿宋_GB2312" w:cs="仿宋_GB2312"/>
          <w:sz w:val="32"/>
          <w:szCs w:val="32"/>
        </w:rPr>
        <w:tab/>
      </w:r>
      <w:r>
        <w:rPr>
          <w:rFonts w:hint="eastAsia" w:eastAsia="仿宋_GB2312" w:cs="仿宋_GB2312"/>
          <w:sz w:val="32"/>
          <w:szCs w:val="32"/>
        </w:rPr>
        <w:t>1</w:t>
      </w:r>
    </w:p>
    <w:p w14:paraId="71C5C678">
      <w:pPr>
        <w:pStyle w:val="13"/>
        <w:tabs>
          <w:tab w:val="left" w:leader="dot" w:pos="798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r>
        <w:rPr>
          <w:rFonts w:ascii="Times New Roman" w:hAnsi="Times New Roman" w:eastAsia="黑体" w:cs="黑体"/>
          <w:sz w:val="32"/>
          <w:szCs w:val="32"/>
        </w:rPr>
        <w:tab/>
      </w:r>
      <w:r>
        <w:rPr>
          <w:rFonts w:hint="eastAsia" w:ascii="Times New Roman" w:hAnsi="Times New Roman" w:eastAsia="黑体" w:cs="黑体"/>
          <w:sz w:val="32"/>
          <w:szCs w:val="32"/>
        </w:rPr>
        <w:t>3</w:t>
      </w:r>
    </w:p>
    <w:p w14:paraId="4B5BE959">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r>
        <w:rPr>
          <w:rFonts w:eastAsia="仿宋_GB2312" w:cs="仿宋_GB2312"/>
          <w:sz w:val="32"/>
          <w:szCs w:val="32"/>
        </w:rPr>
        <w:tab/>
      </w:r>
      <w:r>
        <w:rPr>
          <w:rFonts w:hint="eastAsia" w:eastAsia="仿宋_GB2312" w:cs="仿宋_GB2312"/>
          <w:sz w:val="32"/>
          <w:szCs w:val="32"/>
        </w:rPr>
        <w:t>3</w:t>
      </w:r>
    </w:p>
    <w:p w14:paraId="2013C9A2">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r>
        <w:rPr>
          <w:rFonts w:eastAsia="仿宋_GB2312" w:cs="仿宋_GB2312"/>
          <w:sz w:val="32"/>
          <w:szCs w:val="32"/>
        </w:rPr>
        <w:tab/>
      </w:r>
      <w:r>
        <w:rPr>
          <w:rFonts w:hint="eastAsia" w:eastAsia="仿宋_GB2312" w:cs="仿宋_GB2312"/>
          <w:sz w:val="32"/>
          <w:szCs w:val="32"/>
        </w:rPr>
        <w:t>3</w:t>
      </w:r>
    </w:p>
    <w:p w14:paraId="322B1E93">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r>
        <w:rPr>
          <w:rFonts w:eastAsia="仿宋_GB2312" w:cs="仿宋_GB2312"/>
          <w:sz w:val="32"/>
          <w:szCs w:val="32"/>
        </w:rPr>
        <w:tab/>
      </w:r>
      <w:r>
        <w:rPr>
          <w:rFonts w:hint="eastAsia" w:eastAsia="仿宋_GB2312" w:cs="仿宋_GB2312"/>
          <w:sz w:val="32"/>
          <w:szCs w:val="32"/>
        </w:rPr>
        <w:t>4</w:t>
      </w:r>
    </w:p>
    <w:p w14:paraId="3B40B542">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r>
        <w:rPr>
          <w:rFonts w:eastAsia="仿宋_GB2312" w:cs="仿宋_GB2312"/>
          <w:sz w:val="32"/>
          <w:szCs w:val="32"/>
        </w:rPr>
        <w:tab/>
      </w:r>
      <w:r>
        <w:rPr>
          <w:rFonts w:hint="eastAsia" w:eastAsia="仿宋_GB2312" w:cs="仿宋_GB2312"/>
          <w:sz w:val="32"/>
          <w:szCs w:val="32"/>
        </w:rPr>
        <w:t>5</w:t>
      </w:r>
    </w:p>
    <w:p w14:paraId="3C76863C">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r>
        <w:rPr>
          <w:rFonts w:eastAsia="仿宋_GB2312" w:cs="仿宋_GB2312"/>
          <w:sz w:val="32"/>
          <w:szCs w:val="32"/>
        </w:rPr>
        <w:tab/>
      </w:r>
      <w:r>
        <w:rPr>
          <w:rFonts w:hint="eastAsia" w:eastAsia="仿宋_GB2312" w:cs="仿宋_GB2312"/>
          <w:sz w:val="32"/>
          <w:szCs w:val="32"/>
        </w:rPr>
        <w:t>5</w:t>
      </w:r>
    </w:p>
    <w:p w14:paraId="2A087CCC">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r>
        <w:rPr>
          <w:rFonts w:eastAsia="仿宋_GB2312" w:cs="仿宋_GB2312"/>
          <w:sz w:val="32"/>
          <w:szCs w:val="32"/>
        </w:rPr>
        <w:tab/>
      </w:r>
      <w:r>
        <w:rPr>
          <w:rFonts w:hint="eastAsia" w:eastAsia="仿宋_GB2312" w:cs="仿宋_GB2312"/>
          <w:sz w:val="32"/>
          <w:szCs w:val="32"/>
        </w:rPr>
        <w:t>8</w:t>
      </w:r>
    </w:p>
    <w:p w14:paraId="22A85F26">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r>
        <w:rPr>
          <w:rFonts w:eastAsia="仿宋_GB2312" w:cs="仿宋_GB2312"/>
          <w:sz w:val="32"/>
          <w:szCs w:val="32"/>
        </w:rPr>
        <w:tab/>
      </w:r>
      <w:r>
        <w:rPr>
          <w:rFonts w:hint="eastAsia" w:eastAsia="仿宋_GB2312" w:cs="仿宋_GB2312"/>
          <w:sz w:val="32"/>
          <w:szCs w:val="32"/>
        </w:rPr>
        <w:t>8</w:t>
      </w:r>
    </w:p>
    <w:p w14:paraId="305701C2">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r>
        <w:rPr>
          <w:rFonts w:eastAsia="仿宋_GB2312" w:cs="仿宋_GB2312"/>
          <w:sz w:val="32"/>
          <w:szCs w:val="32"/>
        </w:rPr>
        <w:tab/>
      </w:r>
      <w:r>
        <w:rPr>
          <w:rFonts w:hint="eastAsia" w:eastAsia="仿宋_GB2312" w:cs="仿宋_GB2312"/>
          <w:sz w:val="32"/>
          <w:szCs w:val="32"/>
        </w:rPr>
        <w:t>10</w:t>
      </w:r>
    </w:p>
    <w:p w14:paraId="14EB37DC">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r>
        <w:rPr>
          <w:rFonts w:eastAsia="仿宋_GB2312" w:cs="仿宋_GB2312"/>
          <w:sz w:val="32"/>
          <w:szCs w:val="32"/>
        </w:rPr>
        <w:tab/>
      </w:r>
      <w:r>
        <w:rPr>
          <w:rFonts w:hint="eastAsia" w:eastAsia="仿宋_GB2312" w:cs="仿宋_GB2312"/>
          <w:sz w:val="32"/>
          <w:szCs w:val="32"/>
        </w:rPr>
        <w:t>10</w:t>
      </w:r>
    </w:p>
    <w:p w14:paraId="1ECAB83C">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r>
        <w:rPr>
          <w:rFonts w:eastAsia="仿宋_GB2312" w:cs="仿宋_GB2312"/>
          <w:sz w:val="32"/>
          <w:szCs w:val="32"/>
        </w:rPr>
        <w:tab/>
      </w:r>
      <w:r>
        <w:rPr>
          <w:rFonts w:hint="eastAsia" w:eastAsia="仿宋_GB2312" w:cs="仿宋_GB2312"/>
          <w:sz w:val="32"/>
          <w:szCs w:val="32"/>
        </w:rPr>
        <w:t>10</w:t>
      </w:r>
    </w:p>
    <w:p w14:paraId="620A89F2">
      <w:pPr>
        <w:pStyle w:val="14"/>
        <w:tabs>
          <w:tab w:val="left" w:leader="dot" w:pos="7980"/>
        </w:tabs>
        <w:adjustRightInd w:val="0"/>
        <w:snapToGrid w:val="0"/>
        <w:spacing w:line="560" w:lineRule="exact"/>
        <w:ind w:left="0" w:leftChars="0"/>
        <w:jc w:val="left"/>
        <w:rPr>
          <w:rFonts w:hint="eastAsia" w:eastAsia="黑体" w:cs="黑体"/>
          <w:sz w:val="32"/>
          <w:szCs w:val="32"/>
          <w:lang w:val="en-US" w:eastAsia="zh-CN"/>
        </w:rPr>
      </w:pPr>
      <w:r>
        <w:rPr>
          <w:rFonts w:hint="eastAsia" w:eastAsia="黑体" w:cs="黑体"/>
          <w:sz w:val="32"/>
          <w:szCs w:val="32"/>
        </w:rPr>
        <w:t>第三部分 名词解释</w:t>
      </w:r>
      <w:r>
        <w:rPr>
          <w:rFonts w:eastAsia="黑体" w:cs="黑体"/>
          <w:sz w:val="32"/>
          <w:szCs w:val="32"/>
        </w:rPr>
        <w:tab/>
      </w:r>
      <w:r>
        <w:rPr>
          <w:rFonts w:hint="eastAsia" w:eastAsia="黑体" w:cs="黑体"/>
          <w:sz w:val="32"/>
          <w:szCs w:val="32"/>
        </w:rPr>
        <w:t>1</w:t>
      </w:r>
      <w:r>
        <w:rPr>
          <w:rFonts w:hint="eastAsia" w:eastAsia="黑体" w:cs="黑体"/>
          <w:sz w:val="32"/>
          <w:szCs w:val="32"/>
          <w:lang w:val="en-US" w:eastAsia="zh-CN"/>
        </w:rPr>
        <w:t>1</w:t>
      </w:r>
    </w:p>
    <w:p w14:paraId="495AF2F0">
      <w:pPr>
        <w:pStyle w:val="13"/>
        <w:tabs>
          <w:tab w:val="left" w:leader="dot" w:pos="7980"/>
        </w:tabs>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ascii="Times New Roman" w:hAnsi="Times New Roman" w:eastAsia="黑体" w:cs="黑体"/>
          <w:sz w:val="32"/>
          <w:szCs w:val="32"/>
        </w:rPr>
        <w:tab/>
      </w:r>
      <w:r>
        <w:rPr>
          <w:rFonts w:hint="eastAsia" w:ascii="Times New Roman" w:hAnsi="Times New Roman" w:eastAsia="黑体" w:cs="黑体"/>
          <w:sz w:val="32"/>
          <w:szCs w:val="32"/>
          <w:lang w:val="en-US" w:eastAsia="zh-CN"/>
        </w:rPr>
        <w:t>22</w:t>
      </w:r>
    </w:p>
    <w:p w14:paraId="4126BBDA">
      <w:pPr>
        <w:pStyle w:val="13"/>
        <w:tabs>
          <w:tab w:val="left" w:leader="dot" w:pos="7980"/>
        </w:tabs>
        <w:adjustRightInd w:val="0"/>
        <w:snapToGrid w:val="0"/>
        <w:spacing w:before="0" w:line="560" w:lineRule="exact"/>
        <w:jc w:val="lef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ascii="Times New Roman" w:hAnsi="Times New Roman" w:eastAsia="黑体" w:cs="黑体"/>
          <w:sz w:val="32"/>
          <w:szCs w:val="32"/>
        </w:rPr>
        <w:tab/>
      </w:r>
      <w:r>
        <w:rPr>
          <w:rFonts w:hint="eastAsia" w:ascii="Times New Roman" w:hAnsi="Times New Roman" w:eastAsia="黑体" w:cs="黑体"/>
          <w:sz w:val="32"/>
          <w:szCs w:val="32"/>
        </w:rPr>
        <w:t>2</w:t>
      </w:r>
      <w:r>
        <w:rPr>
          <w:rFonts w:hint="eastAsia" w:ascii="Times New Roman" w:hAnsi="Times New Roman" w:eastAsia="黑体" w:cs="黑体"/>
          <w:sz w:val="32"/>
          <w:szCs w:val="32"/>
          <w:lang w:val="en-US" w:eastAsia="zh-CN"/>
        </w:rPr>
        <w:t>7</w:t>
      </w:r>
    </w:p>
    <w:p w14:paraId="06016BCC">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pPr>
      <w:r>
        <w:rPr>
          <w:rFonts w:hint="eastAsia" w:eastAsia="仿宋_GB2312" w:cs="仿宋_GB2312"/>
          <w:color w:val="FFFFFF" w:themeColor="background1"/>
          <w:sz w:val="32"/>
          <w:szCs w:val="32"/>
          <w14:textFill>
            <w14:solidFill>
              <w14:schemeClr w14:val="bg1"/>
            </w14:solidFill>
          </w14:textFill>
        </w:rPr>
        <w:t>一、收入支出决算总表</w:t>
      </w:r>
    </w:p>
    <w:p w14:paraId="34E040D3">
      <w:pPr>
        <w:pStyle w:val="14"/>
        <w:tabs>
          <w:tab w:val="left" w:leader="dot" w:pos="7980"/>
        </w:tabs>
        <w:adjustRightInd w:val="0"/>
        <w:snapToGrid w:val="0"/>
        <w:spacing w:line="560" w:lineRule="exact"/>
        <w:ind w:left="0" w:leftChars="0" w:firstLine="320" w:firstLineChars="100"/>
        <w:jc w:val="left"/>
        <w:rPr>
          <w:rFonts w:eastAsia="仿宋_GB2312" w:cs="仿宋_GB2312"/>
          <w:sz w:val="32"/>
          <w:szCs w:val="32"/>
        </w:rPr>
      </w:pPr>
      <w:r>
        <w:rPr>
          <w:rFonts w:hint="eastAsia" w:eastAsia="仿宋_GB2312" w:cs="仿宋_GB2312"/>
          <w:color w:val="FFFFFF" w:themeColor="background1"/>
          <w:sz w:val="32"/>
          <w:szCs w:val="32"/>
          <w14:textFill>
            <w14:solidFill>
              <w14:schemeClr w14:val="bg1"/>
            </w14:solidFill>
          </w14:textFill>
        </w:rPr>
        <w:t>表</w:t>
      </w:r>
      <w:r>
        <w:rPr>
          <w:rFonts w:hint="eastAsia" w:eastAsia="仿宋_GB2312" w:cs="仿宋_GB2312"/>
          <w:sz w:val="32"/>
          <w:szCs w:val="32"/>
        </w:rPr>
        <w:t>一、收入支出决算总表</w:t>
      </w:r>
    </w:p>
    <w:p w14:paraId="1A23A204">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640B323E">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1C93569B">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5B6E493B">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30FC3CDE">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57B7E1B8">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445B3E37">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7B6E8CCF">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5B1CD051">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7B709BA6">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2A10228C">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480A166C">
      <w:pPr>
        <w:pStyle w:val="14"/>
        <w:tabs>
          <w:tab w:val="left" w:leader="dot" w:pos="7980"/>
        </w:tabs>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460B049A">
      <w:pPr>
        <w:pStyle w:val="14"/>
        <w:adjustRightInd w:val="0"/>
        <w:snapToGrid w:val="0"/>
        <w:spacing w:line="560" w:lineRule="exact"/>
        <w:ind w:left="0" w:leftChars="0" w:firstLine="643" w:firstLineChars="200"/>
        <w:jc w:val="left"/>
        <w:rPr>
          <w:rFonts w:eastAsia="仿宋_GB2312" w:cs="仿宋_GB2312"/>
          <w:b/>
          <w:bCs/>
          <w:sz w:val="32"/>
          <w:szCs w:val="32"/>
        </w:rPr>
      </w:pPr>
    </w:p>
    <w:p w14:paraId="7F911D2A">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pPr>
    </w:p>
    <w:p w14:paraId="7D18CCF7">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pPr>
      <w:r>
        <w:rPr>
          <w:rFonts w:hint="eastAsia" w:eastAsia="仿宋_GB2312" w:cs="仿宋_GB2312"/>
          <w:color w:val="FFFFFF" w:themeColor="background1"/>
          <w:sz w:val="32"/>
          <w:szCs w:val="32"/>
          <w14:textFill>
            <w14:solidFill>
              <w14:schemeClr w14:val="bg1"/>
            </w14:solidFill>
          </w14:textFill>
        </w:rPr>
        <w:t>三、支出决算表</w:t>
      </w:r>
    </w:p>
    <w:p w14:paraId="3B7C118C">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pPr>
      <w:r>
        <w:rPr>
          <w:rFonts w:hint="eastAsia" w:eastAsia="仿宋_GB2312" w:cs="仿宋_GB2312"/>
          <w:color w:val="FFFFFF" w:themeColor="background1"/>
          <w:sz w:val="32"/>
          <w:szCs w:val="32"/>
          <w14:textFill>
            <w14:solidFill>
              <w14:schemeClr w14:val="bg1"/>
            </w14:solidFill>
          </w14:textFill>
        </w:rPr>
        <w:t>四、财政拨款收入支出决算总表</w:t>
      </w:r>
    </w:p>
    <w:p w14:paraId="21B9FE67">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pPr>
      <w:r>
        <w:rPr>
          <w:rFonts w:hint="eastAsia" w:eastAsia="仿宋_GB2312" w:cs="仿宋_GB2312"/>
          <w:color w:val="FFFFFF" w:themeColor="background1"/>
          <w:sz w:val="32"/>
          <w:szCs w:val="32"/>
          <w14:textFill>
            <w14:solidFill>
              <w14:schemeClr w14:val="bg1"/>
            </w14:solidFill>
          </w14:textFill>
        </w:rPr>
        <w:t>五、财政拨款支出决算明细表</w:t>
      </w:r>
    </w:p>
    <w:p w14:paraId="77618763">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pPr>
      <w:r>
        <w:rPr>
          <w:rFonts w:hint="eastAsia" w:eastAsia="仿宋_GB2312" w:cs="仿宋_GB2312"/>
          <w:color w:val="FFFFFF" w:themeColor="background1"/>
          <w:sz w:val="32"/>
          <w:szCs w:val="32"/>
          <w14:textFill>
            <w14:solidFill>
              <w14:schemeClr w14:val="bg1"/>
            </w14:solidFill>
          </w14:textFill>
        </w:rPr>
        <w:t>六、一般公共预算财政拨款支出决算表</w:t>
      </w:r>
    </w:p>
    <w:p w14:paraId="7393D63A">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pPr>
      <w:r>
        <w:rPr>
          <w:rFonts w:hint="eastAsia" w:eastAsia="仿宋_GB2312" w:cs="仿宋_GB2312"/>
          <w:color w:val="FFFFFF" w:themeColor="background1"/>
          <w:sz w:val="32"/>
          <w:szCs w:val="32"/>
          <w14:textFill>
            <w14:solidFill>
              <w14:schemeClr w14:val="bg1"/>
            </w14:solidFill>
          </w14:textFill>
        </w:rPr>
        <w:t>七、一般公共预算财政拨款支出决算明细表</w:t>
      </w:r>
    </w:p>
    <w:p w14:paraId="098E5341">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pPr>
      <w:r>
        <w:rPr>
          <w:rFonts w:hint="eastAsia" w:eastAsia="仿宋_GB2312" w:cs="仿宋_GB2312"/>
          <w:color w:val="FFFFFF" w:themeColor="background1"/>
          <w:sz w:val="32"/>
          <w:szCs w:val="32"/>
          <w14:textFill>
            <w14:solidFill>
              <w14:schemeClr w14:val="bg1"/>
            </w14:solidFill>
          </w14:textFill>
        </w:rPr>
        <w:t>八、一般公共预算财政拨款基本支出决算明细表</w:t>
      </w:r>
    </w:p>
    <w:p w14:paraId="472EC599">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pPr>
      <w:r>
        <w:rPr>
          <w:rFonts w:hint="eastAsia" w:eastAsia="仿宋_GB2312" w:cs="仿宋_GB2312"/>
          <w:color w:val="FFFFFF" w:themeColor="background1"/>
          <w:sz w:val="32"/>
          <w:szCs w:val="32"/>
          <w14:textFill>
            <w14:solidFill>
              <w14:schemeClr w14:val="bg1"/>
            </w14:solidFill>
          </w14:textFill>
        </w:rPr>
        <w:t>拨款收入支出决算表</w:t>
      </w:r>
    </w:p>
    <w:p w14:paraId="685F5605">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pPr>
      <w:r>
        <w:rPr>
          <w:rFonts w:hint="eastAsia" w:eastAsia="仿宋_GB2312" w:cs="仿宋_GB2312"/>
          <w:color w:val="FFFFFF" w:themeColor="background1"/>
          <w:sz w:val="32"/>
          <w:szCs w:val="32"/>
          <w14:textFill>
            <w14:solidFill>
              <w14:schemeClr w14:val="bg1"/>
            </w14:solidFill>
          </w14:textFill>
        </w:rPr>
        <w:t>十一、国有资本经营预算财政拨款收入支出决算表</w:t>
      </w:r>
    </w:p>
    <w:p w14:paraId="2C73FD0C">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pPr>
      <w:r>
        <w:rPr>
          <w:rFonts w:hint="eastAsia" w:eastAsia="仿宋_GB2312" w:cs="仿宋_GB2312"/>
          <w:color w:val="FFFFFF" w:themeColor="background1"/>
          <w:sz w:val="32"/>
          <w:szCs w:val="32"/>
          <w14:textFill>
            <w14:solidFill>
              <w14:schemeClr w14:val="bg1"/>
            </w14:solidFill>
          </w14:textFill>
        </w:rPr>
        <w:t>十二、国有资本经营预算财政拨款支出决算表</w:t>
      </w:r>
    </w:p>
    <w:p w14:paraId="42240710">
      <w:pPr>
        <w:pStyle w:val="14"/>
        <w:tabs>
          <w:tab w:val="left" w:leader="dot" w:pos="7980"/>
        </w:tabs>
        <w:adjustRightInd w:val="0"/>
        <w:snapToGrid w:val="0"/>
        <w:spacing w:line="560" w:lineRule="exact"/>
        <w:ind w:left="0" w:leftChars="0" w:firstLine="640" w:firstLineChars="200"/>
        <w:jc w:val="left"/>
        <w:rPr>
          <w:rFonts w:eastAsia="仿宋_GB2312" w:cs="仿宋_GB2312"/>
          <w:color w:val="FFFFFF" w:themeColor="background1"/>
          <w:sz w:val="32"/>
          <w:szCs w:val="32"/>
          <w14:textFill>
            <w14:solidFill>
              <w14:schemeClr w14:val="bg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2098" w:right="1531" w:bottom="1984" w:left="1587" w:header="851" w:footer="992" w:gutter="0"/>
          <w:pgNumType w:start="1"/>
          <w:cols w:space="0" w:num="1"/>
          <w:titlePg/>
          <w:docGrid w:type="lines" w:linePitch="312" w:charSpace="0"/>
        </w:sectPr>
      </w:pPr>
      <w:r>
        <w:rPr>
          <w:rFonts w:hint="eastAsia" w:eastAsia="仿宋_GB2312" w:cs="仿宋_GB2312"/>
          <w:color w:val="FFFFFF" w:themeColor="background1"/>
          <w:sz w:val="32"/>
          <w:szCs w:val="32"/>
          <w14:textFill>
            <w14:solidFill>
              <w14:schemeClr w14:val="bg1"/>
            </w14:solidFill>
          </w14:textFill>
        </w:rPr>
        <w:t>十三、财政拨款“三公”经费支出决算表</w:t>
      </w:r>
      <w:bookmarkStart w:id="0" w:name="_Toc15377196"/>
      <w:bookmarkStart w:id="1" w:name="_Toc15396599"/>
    </w:p>
    <w:p w14:paraId="7B2FC3FB">
      <w:pPr>
        <w:pStyle w:val="5"/>
        <w:spacing w:line="576" w:lineRule="exact"/>
        <w:ind w:firstLine="2640" w:firstLineChars="600"/>
        <w:rPr>
          <w:rFonts w:eastAsia="黑体"/>
          <w:sz w:val="32"/>
          <w:szCs w:val="32"/>
        </w:rPr>
      </w:pPr>
      <w:r>
        <w:rPr>
          <w:rFonts w:hint="eastAsia" w:eastAsia="方正小标宋简体" w:cs="方正小标宋简体"/>
          <w:b w:val="0"/>
        </w:rPr>
        <w:t>第一部分</w:t>
      </w:r>
      <w:r>
        <w:rPr>
          <w:rStyle w:val="28"/>
          <w:rFonts w:hint="eastAsia" w:eastAsia="方正小标宋简体" w:cs="方正小标宋简体"/>
          <w:b w:val="0"/>
          <w:bCs w:val="0"/>
        </w:rPr>
        <w:t>部门概况</w:t>
      </w:r>
      <w:bookmarkEnd w:id="0"/>
      <w:bookmarkEnd w:id="1"/>
    </w:p>
    <w:p w14:paraId="727E65D9">
      <w:pPr>
        <w:pStyle w:val="6"/>
        <w:numPr>
          <w:ilvl w:val="0"/>
          <w:numId w:val="2"/>
        </w:numPr>
        <w:spacing w:line="576" w:lineRule="exact"/>
        <w:rPr>
          <w:rFonts w:ascii="Times New Roman" w:hAnsi="Times New Roman" w:eastAsia="黑体"/>
          <w:b w:val="0"/>
        </w:rPr>
      </w:pPr>
      <w:r>
        <w:rPr>
          <w:rFonts w:hint="eastAsia" w:ascii="Times New Roman" w:hAnsi="Times New Roman" w:eastAsia="黑体"/>
          <w:b w:val="0"/>
        </w:rPr>
        <w:t>部门职责</w:t>
      </w:r>
    </w:p>
    <w:p w14:paraId="761624CC">
      <w:pPr>
        <w:pStyle w:val="27"/>
        <w:spacing w:line="576" w:lineRule="exact"/>
        <w:ind w:firstLine="640"/>
        <w:contextualSpacing/>
      </w:pPr>
      <w:r>
        <w:rPr>
          <w:rFonts w:hint="eastAsia" w:ascii="仿宋_GB2312" w:hAnsi="仿宋_GB2312" w:eastAsia="仿宋_GB2312" w:cs="仿宋_GB2312"/>
          <w:sz w:val="32"/>
          <w:szCs w:val="32"/>
        </w:rPr>
        <w:t>我单位现为中共阿坝州委宣传部直属的具有独立法人资格的差额拨款公益性二类正科级事业机构。其职责</w:t>
      </w:r>
      <w:r>
        <w:rPr>
          <w:rFonts w:hint="eastAsia" w:ascii="仿宋_GB2312" w:hAnsi="仿宋" w:eastAsia="仿宋_GB2312" w:cs="仿宋"/>
          <w:color w:val="000000"/>
          <w:sz w:val="32"/>
          <w:szCs w:val="32"/>
        </w:rPr>
        <w:t>繁荣文化市场，丰富人民群众文化生活；负责全州农村公益电影放映工程的节目下载、影片发行、放映督查、设备巡检、技术指导、业务培训、数据统计上报等工作。协助主管部门指导城市影院建设、经营管理等业务工作；积极开展宣传党的路线、方针、政策放映工作，充分利用农村公益电影放映工作守牢涉藏地区宣传文化意识形态阵地；负责马尔康太平洋电影城经营管理；积极完成州委、州政府及主管部门交办的其他任务。</w:t>
      </w:r>
    </w:p>
    <w:p w14:paraId="4A8EA6C3">
      <w:pPr>
        <w:pStyle w:val="6"/>
        <w:spacing w:line="576" w:lineRule="exact"/>
        <w:ind w:firstLine="640" w:firstLineChars="200"/>
        <w:rPr>
          <w:rStyle w:val="29"/>
          <w:rFonts w:ascii="Times New Roman" w:hAnsi="Times New Roman"/>
          <w:b w:val="0"/>
          <w:bCs w:val="0"/>
        </w:rPr>
      </w:pPr>
      <w:bookmarkStart w:id="2" w:name="_Toc15377200"/>
      <w:bookmarkStart w:id="3" w:name="_Toc15396601"/>
      <w:r>
        <w:rPr>
          <w:rFonts w:hint="eastAsia" w:ascii="Times New Roman" w:hAnsi="Times New Roman" w:eastAsia="黑体"/>
          <w:b w:val="0"/>
        </w:rPr>
        <w:t>二、机</w:t>
      </w:r>
      <w:r>
        <w:rPr>
          <w:rStyle w:val="29"/>
          <w:rFonts w:hint="eastAsia" w:ascii="Times New Roman" w:hAnsi="Times New Roman" w:eastAsia="黑体"/>
          <w:b w:val="0"/>
          <w:bCs w:val="0"/>
        </w:rPr>
        <w:t>构设置</w:t>
      </w:r>
    </w:p>
    <w:p w14:paraId="5DA05C08">
      <w:pPr>
        <w:pStyle w:val="8"/>
        <w:spacing w:before="93" w:line="576" w:lineRule="exact"/>
        <w:ind w:firstLine="640" w:firstLineChars="200"/>
        <w:contextualSpacing/>
        <w:rPr>
          <w:rFonts w:hint="eastAsia" w:hAnsi="仿宋"/>
          <w:sz w:val="32"/>
          <w:szCs w:val="32"/>
        </w:rPr>
      </w:pPr>
      <w:r>
        <w:rPr>
          <w:rFonts w:hint="eastAsia" w:hAnsi="仿宋"/>
          <w:sz w:val="32"/>
          <w:szCs w:val="32"/>
        </w:rPr>
        <w:t>阿坝藏族羌族自治州电影服务中心（原阿坝藏族羌族自治州电影发行放映公司）成立于1959年1月，1998年11月，经州政府第八次常务会确定为差额补贴事业单位，2014年1月，经全州事业单位分类改革确定为公益二类事业单位，将原“阿坝藏族羌族自治州电影发行放映公司”更名为“阿坝藏族羌族自治州电影服务中心”，2019年6月，经机构改革调整，划归州委宣传部管理。</w:t>
      </w:r>
    </w:p>
    <w:p w14:paraId="6BF78CE6">
      <w:pPr>
        <w:pStyle w:val="8"/>
        <w:spacing w:before="93" w:line="576" w:lineRule="exact"/>
        <w:ind w:firstLine="643" w:firstLineChars="200"/>
        <w:contextualSpacing/>
        <w:rPr>
          <w:rFonts w:hint="eastAsia" w:hAnsi="仿宋"/>
          <w:sz w:val="32"/>
          <w:szCs w:val="32"/>
        </w:rPr>
      </w:pPr>
      <w:r>
        <w:rPr>
          <w:rFonts w:hint="eastAsia" w:hAnsi="仿宋"/>
          <w:b/>
          <w:bCs/>
          <w:sz w:val="32"/>
          <w:szCs w:val="32"/>
        </w:rPr>
        <w:t>内设机构：</w:t>
      </w:r>
      <w:r>
        <w:rPr>
          <w:rFonts w:hint="eastAsia" w:hAnsi="仿宋"/>
          <w:sz w:val="32"/>
          <w:szCs w:val="32"/>
        </w:rPr>
        <w:t xml:space="preserve">2室、1中心、1院，即：办公室、财务室、农村数字电影中心、马尔康太平洋电影城。 </w:t>
      </w:r>
    </w:p>
    <w:bookmarkEnd w:id="2"/>
    <w:bookmarkEnd w:id="3"/>
    <w:p w14:paraId="08F45CBB">
      <w:pPr>
        <w:pStyle w:val="3"/>
        <w:ind w:left="0" w:leftChars="0" w:firstLine="0" w:firstLineChars="0"/>
        <w:rPr>
          <w:rFonts w:eastAsia="方正小标宋简体" w:cs="方正小标宋简体"/>
        </w:rPr>
      </w:pPr>
      <w:bookmarkStart w:id="4" w:name="_Toc15396602"/>
      <w:bookmarkStart w:id="5" w:name="_Toc15377204"/>
    </w:p>
    <w:p w14:paraId="21961CF2">
      <w:pPr>
        <w:pStyle w:val="5"/>
        <w:spacing w:line="576" w:lineRule="exact"/>
        <w:jc w:val="center"/>
      </w:pPr>
      <w:r>
        <w:rPr>
          <w:rFonts w:hint="eastAsia" w:eastAsia="方正小标宋简体" w:cs="方正小标宋简体"/>
          <w:b w:val="0"/>
        </w:rPr>
        <w:t>第二部分2024年度部门决算情况说明</w:t>
      </w:r>
      <w:bookmarkEnd w:id="4"/>
      <w:bookmarkEnd w:id="5"/>
    </w:p>
    <w:p w14:paraId="16E12D6F">
      <w:pPr>
        <w:pStyle w:val="27"/>
        <w:spacing w:line="576" w:lineRule="exact"/>
        <w:ind w:firstLine="640"/>
        <w:outlineLvl w:val="1"/>
        <w:rPr>
          <w:rStyle w:val="29"/>
          <w:rFonts w:ascii="Times New Roman" w:hAnsi="Times New Roman" w:eastAsia="黑体"/>
          <w:b w:val="0"/>
        </w:rPr>
      </w:pPr>
      <w:bookmarkStart w:id="6" w:name="_Toc15396603"/>
      <w:bookmarkStart w:id="7"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6"/>
      <w:bookmarkEnd w:id="7"/>
    </w:p>
    <w:p w14:paraId="5798B3AB">
      <w:pPr>
        <w:pStyle w:val="27"/>
        <w:spacing w:line="576" w:lineRule="exact"/>
        <w:ind w:firstLine="640"/>
        <w:outlineLvl w:val="1"/>
        <w:rPr>
          <w:rFonts w:eastAsia="仿宋_GB2312" w:cs="仿宋_GB2312"/>
          <w:sz w:val="32"/>
          <w:szCs w:val="32"/>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531.97</w:t>
      </w:r>
      <w:r>
        <w:rPr>
          <w:rFonts w:hint="eastAsia" w:eastAsia="仿宋_GB2312" w:cs="仿宋_GB2312"/>
          <w:sz w:val="32"/>
          <w:szCs w:val="32"/>
        </w:rPr>
        <w:t>万元。与2023年度相比，收入、支出总计各增加35.06万元，增长7.06%。主要变动原因是</w:t>
      </w:r>
      <w:r>
        <w:rPr>
          <w:rFonts w:hint="eastAsia" w:ascii="仿宋_GB2312" w:eastAsia="仿宋_GB2312" w:cs="宋体"/>
          <w:sz w:val="32"/>
          <w:szCs w:val="32"/>
        </w:rPr>
        <w:t>24年增加文化产业发展专项项目</w:t>
      </w:r>
    </w:p>
    <w:p w14:paraId="77D351AC">
      <w:pPr>
        <w:spacing w:line="576" w:lineRule="exact"/>
        <w:ind w:firstLine="640" w:firstLineChars="200"/>
        <w:rPr>
          <w:rFonts w:eastAsia="仿宋_GB2312" w:cs="仿宋_GB2312"/>
          <w:sz w:val="32"/>
          <w:szCs w:val="32"/>
        </w:rPr>
      </w:pPr>
      <w:r>
        <w:rPr>
          <w:rFonts w:eastAsia="仿宋_GB2312" w:cs="仿宋_GB2312"/>
          <w:sz w:val="32"/>
          <w:szCs w:val="32"/>
        </w:rPr>
        <w:drawing>
          <wp:anchor distT="0" distB="0" distL="0" distR="0" simplePos="0" relativeHeight="251661312" behindDoc="1" locked="0" layoutInCell="1" allowOverlap="1">
            <wp:simplePos x="0" y="0"/>
            <wp:positionH relativeFrom="column">
              <wp:posOffset>128905</wp:posOffset>
            </wp:positionH>
            <wp:positionV relativeFrom="paragraph">
              <wp:posOffset>194310</wp:posOffset>
            </wp:positionV>
            <wp:extent cx="5274310" cy="3076575"/>
            <wp:effectExtent l="0" t="0" r="2540" b="9525"/>
            <wp:wrapTight wrapText="bothSides">
              <wp:wrapPolygon>
                <wp:start x="0" y="0"/>
                <wp:lineTo x="0" y="21533"/>
                <wp:lineTo x="21532" y="21533"/>
                <wp:lineTo x="21532" y="0"/>
                <wp:lineTo x="0" y="0"/>
              </wp:wrapPolygon>
            </wp:wrapTight>
            <wp:docPr id="26096320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eastAsia="仿宋_GB2312" w:cs="仿宋_GB2312"/>
          <w:sz w:val="32"/>
          <w:szCs w:val="32"/>
        </w:rPr>
        <w:t>（图1：收入、支出决算总计变动情况图）（柱状图）</w:t>
      </w:r>
    </w:p>
    <w:p w14:paraId="00F12D52">
      <w:pPr>
        <w:spacing w:line="576" w:lineRule="exact"/>
        <w:ind w:firstLine="640" w:firstLineChars="200"/>
        <w:rPr>
          <w:rFonts w:eastAsia="仿宋_GB2312" w:cs="仿宋_GB2312"/>
          <w:sz w:val="32"/>
          <w:szCs w:val="32"/>
        </w:rPr>
      </w:pPr>
    </w:p>
    <w:p w14:paraId="3F6463C1">
      <w:pPr>
        <w:pStyle w:val="27"/>
        <w:spacing w:line="576" w:lineRule="exact"/>
        <w:ind w:firstLine="640"/>
        <w:outlineLvl w:val="1"/>
        <w:rPr>
          <w:rFonts w:eastAsia="黑体"/>
          <w:sz w:val="32"/>
          <w:szCs w:val="32"/>
        </w:rPr>
      </w:pPr>
      <w:bookmarkStart w:id="8" w:name="_Toc15377206"/>
      <w:bookmarkStart w:id="9" w:name="_Toc15396604"/>
      <w:r>
        <w:rPr>
          <w:rFonts w:hint="eastAsia" w:eastAsia="黑体"/>
          <w:sz w:val="32"/>
          <w:szCs w:val="32"/>
        </w:rPr>
        <w:t>二、收入决算情况说明</w:t>
      </w:r>
      <w:bookmarkEnd w:id="8"/>
      <w:bookmarkEnd w:id="9"/>
    </w:p>
    <w:p w14:paraId="0953A91A">
      <w:pPr>
        <w:pStyle w:val="27"/>
        <w:spacing w:line="576" w:lineRule="exact"/>
        <w:ind w:firstLine="640"/>
        <w:jc w:val="left"/>
        <w:outlineLvl w:val="1"/>
        <w:rPr>
          <w:rFonts w:eastAsia="仿宋_GB2312" w:cs="仿宋_GB2312"/>
          <w:b/>
          <w:bCs/>
          <w:sz w:val="32"/>
          <w:szCs w:val="32"/>
        </w:rPr>
      </w:pPr>
      <w:r>
        <w:rPr>
          <w:rFonts w:hint="eastAsia" w:ascii="仿宋_GB2312" w:hAnsi="仿宋_GB2312" w:eastAsia="仿宋_GB2312" w:cs="仿宋_GB2312"/>
          <w:sz w:val="32"/>
          <w:szCs w:val="32"/>
        </w:rPr>
        <w:t>2024年度本年收入合计531.97万元，其中：一般公共预算财政拨款收入531.97万元，占100%。</w:t>
      </w:r>
    </w:p>
    <w:p w14:paraId="698AFC0C">
      <w:pPr>
        <w:spacing w:line="576" w:lineRule="exact"/>
        <w:rPr>
          <w:rFonts w:eastAsia="仿宋_GB2312" w:cs="仿宋_GB2312"/>
          <w:sz w:val="32"/>
          <w:szCs w:val="32"/>
        </w:rPr>
      </w:pPr>
    </w:p>
    <w:p w14:paraId="13F43BA4">
      <w:pPr>
        <w:spacing w:line="576" w:lineRule="exact"/>
        <w:rPr>
          <w:rFonts w:eastAsia="仿宋_GB2312" w:cs="仿宋_GB2312"/>
          <w:sz w:val="32"/>
          <w:szCs w:val="32"/>
        </w:rPr>
      </w:pPr>
    </w:p>
    <w:p w14:paraId="1BA0CFE8">
      <w:pPr>
        <w:spacing w:line="576" w:lineRule="exact"/>
        <w:rPr>
          <w:rFonts w:eastAsia="仿宋_GB2312" w:cs="仿宋_GB2312"/>
          <w:sz w:val="32"/>
          <w:szCs w:val="32"/>
        </w:rPr>
      </w:pPr>
      <w:r>
        <w:rPr>
          <w:rFonts w:eastAsia="仿宋_GB2312" w:cs="仿宋_GB2312"/>
          <w:sz w:val="32"/>
          <w:szCs w:val="32"/>
        </w:rPr>
        <w:drawing>
          <wp:anchor distT="0" distB="0" distL="0" distR="0" simplePos="0" relativeHeight="251662336" behindDoc="1" locked="0" layoutInCell="1" allowOverlap="1">
            <wp:simplePos x="0" y="0"/>
            <wp:positionH relativeFrom="column">
              <wp:posOffset>243840</wp:posOffset>
            </wp:positionH>
            <wp:positionV relativeFrom="paragraph">
              <wp:posOffset>222885</wp:posOffset>
            </wp:positionV>
            <wp:extent cx="5274310" cy="2865120"/>
            <wp:effectExtent l="0" t="0" r="2540" b="11430"/>
            <wp:wrapTight wrapText="bothSides">
              <wp:wrapPolygon>
                <wp:start x="0" y="0"/>
                <wp:lineTo x="0" y="21543"/>
                <wp:lineTo x="21532" y="21543"/>
                <wp:lineTo x="21532" y="0"/>
                <wp:lineTo x="0" y="0"/>
              </wp:wrapPolygon>
            </wp:wrapTight>
            <wp:docPr id="199015371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354BC25">
      <w:pPr>
        <w:spacing w:line="576" w:lineRule="exact"/>
        <w:rPr>
          <w:rFonts w:eastAsia="仿宋_GB2312" w:cs="仿宋_GB2312"/>
          <w:sz w:val="32"/>
          <w:szCs w:val="32"/>
        </w:rPr>
      </w:pPr>
    </w:p>
    <w:p w14:paraId="64C28825">
      <w:pPr>
        <w:spacing w:line="576" w:lineRule="exact"/>
        <w:rPr>
          <w:rFonts w:eastAsia="仿宋_GB2312" w:cs="仿宋_GB2312"/>
          <w:sz w:val="32"/>
          <w:szCs w:val="32"/>
        </w:rPr>
      </w:pPr>
    </w:p>
    <w:p w14:paraId="15EDCFD5">
      <w:pPr>
        <w:spacing w:line="576" w:lineRule="exact"/>
        <w:rPr>
          <w:rFonts w:eastAsia="仿宋_GB2312" w:cs="仿宋_GB2312"/>
          <w:sz w:val="32"/>
          <w:szCs w:val="32"/>
        </w:rPr>
      </w:pPr>
    </w:p>
    <w:p w14:paraId="5F4AE76F">
      <w:pPr>
        <w:spacing w:line="576" w:lineRule="exact"/>
        <w:rPr>
          <w:rFonts w:eastAsia="仿宋_GB2312" w:cs="仿宋_GB2312"/>
          <w:sz w:val="32"/>
          <w:szCs w:val="32"/>
        </w:rPr>
      </w:pPr>
    </w:p>
    <w:p w14:paraId="579D6AFC">
      <w:pPr>
        <w:pStyle w:val="2"/>
        <w:rPr>
          <w:rFonts w:eastAsia="仿宋_GB2312" w:cs="仿宋_GB2312"/>
          <w:sz w:val="32"/>
          <w:szCs w:val="32"/>
        </w:rPr>
      </w:pPr>
    </w:p>
    <w:p w14:paraId="4D1E2155">
      <w:pPr>
        <w:pStyle w:val="3"/>
        <w:ind w:left="0" w:leftChars="0" w:firstLine="0" w:firstLineChars="0"/>
        <w:rPr>
          <w:rFonts w:eastAsia="仿宋_GB2312" w:cs="仿宋_GB2312"/>
          <w:sz w:val="32"/>
        </w:rPr>
      </w:pPr>
    </w:p>
    <w:p w14:paraId="17F1A747">
      <w:pPr>
        <w:spacing w:line="576" w:lineRule="exact"/>
        <w:ind w:firstLine="640" w:firstLineChars="200"/>
        <w:rPr>
          <w:rFonts w:eastAsia="仿宋_GB2312" w:cs="仿宋_GB2312"/>
          <w:sz w:val="32"/>
          <w:szCs w:val="32"/>
        </w:rPr>
      </w:pPr>
      <w:r>
        <w:rPr>
          <w:rFonts w:hint="eastAsia" w:eastAsia="仿宋_GB2312" w:cs="仿宋_GB2312"/>
          <w:sz w:val="32"/>
          <w:szCs w:val="32"/>
        </w:rPr>
        <w:t>（图2：收入决算结构图）（饼状图）</w:t>
      </w:r>
    </w:p>
    <w:p w14:paraId="2CAB09C3">
      <w:pPr>
        <w:spacing w:line="576" w:lineRule="exact"/>
        <w:ind w:firstLine="800" w:firstLineChars="250"/>
        <w:rPr>
          <w:rFonts w:eastAsia="仿宋_GB2312" w:cs="仿宋_GB2312"/>
          <w:sz w:val="32"/>
          <w:szCs w:val="32"/>
        </w:rPr>
      </w:pPr>
    </w:p>
    <w:p w14:paraId="38A255CE">
      <w:pPr>
        <w:pStyle w:val="27"/>
        <w:spacing w:line="576" w:lineRule="exact"/>
        <w:ind w:firstLine="640"/>
        <w:outlineLvl w:val="1"/>
        <w:rPr>
          <w:rStyle w:val="29"/>
          <w:rFonts w:ascii="Times New Roman" w:hAnsi="Times New Roman" w:eastAsia="黑体"/>
          <w:b w:val="0"/>
        </w:rPr>
      </w:pPr>
      <w:bookmarkStart w:id="10" w:name="_Toc15377207"/>
      <w:bookmarkStart w:id="11" w:name="_Toc15396605"/>
      <w:r>
        <w:rPr>
          <w:rFonts w:hint="eastAsia" w:eastAsia="黑体"/>
          <w:sz w:val="32"/>
          <w:szCs w:val="32"/>
        </w:rPr>
        <w:t>三、支</w:t>
      </w:r>
      <w:r>
        <w:rPr>
          <w:rStyle w:val="29"/>
          <w:rFonts w:hint="eastAsia" w:ascii="Times New Roman" w:hAnsi="Times New Roman" w:eastAsia="黑体"/>
          <w:b w:val="0"/>
        </w:rPr>
        <w:t>出决算情况说明</w:t>
      </w:r>
      <w:bookmarkEnd w:id="10"/>
      <w:bookmarkEnd w:id="11"/>
    </w:p>
    <w:p w14:paraId="46C2A31E">
      <w:pPr>
        <w:pStyle w:val="27"/>
        <w:spacing w:line="576" w:lineRule="exact"/>
        <w:ind w:firstLine="640"/>
        <w:jc w:val="left"/>
        <w:outlineLvl w:val="1"/>
        <w:rPr>
          <w:rFonts w:eastAsia="仿宋_GB2312" w:cs="仿宋_GB2312"/>
          <w:sz w:val="32"/>
          <w:szCs w:val="32"/>
        </w:rPr>
      </w:pPr>
      <w:r>
        <w:rPr>
          <w:rFonts w:hint="eastAsia" w:ascii="仿宋_GB2312" w:hAnsi="仿宋_GB2312" w:eastAsia="仿宋_GB2312" w:cs="仿宋_GB2312"/>
          <w:sz w:val="32"/>
          <w:szCs w:val="32"/>
        </w:rPr>
        <w:t>2024年度本年支出合计531.97万元，其中：基本支出405.67万元，占76.25%；项目支出126.3万元，占23.74%；</w:t>
      </w:r>
    </w:p>
    <w:p w14:paraId="33F8833A">
      <w:pPr>
        <w:spacing w:line="576" w:lineRule="exact"/>
        <w:rPr>
          <w:rFonts w:eastAsia="仿宋_GB2312" w:cs="仿宋_GB2312"/>
          <w:sz w:val="32"/>
          <w:szCs w:val="32"/>
        </w:rPr>
      </w:pPr>
      <w:r>
        <w:rPr>
          <w:rFonts w:eastAsia="仿宋_GB2312" w:cs="仿宋_GB2312"/>
          <w:sz w:val="32"/>
          <w:szCs w:val="32"/>
        </w:rPr>
        <w:drawing>
          <wp:anchor distT="0" distB="0" distL="0" distR="0" simplePos="0" relativeHeight="251663360" behindDoc="1" locked="0" layoutInCell="1" allowOverlap="1">
            <wp:simplePos x="0" y="0"/>
            <wp:positionH relativeFrom="column">
              <wp:posOffset>95885</wp:posOffset>
            </wp:positionH>
            <wp:positionV relativeFrom="paragraph">
              <wp:posOffset>151765</wp:posOffset>
            </wp:positionV>
            <wp:extent cx="5274310" cy="2770505"/>
            <wp:effectExtent l="4445" t="4445" r="17145" b="44450"/>
            <wp:wrapTight wrapText="bothSides">
              <wp:wrapPolygon>
                <wp:start x="-18" y="-35"/>
                <wp:lineTo x="-18" y="21501"/>
                <wp:lineTo x="21514" y="21501"/>
                <wp:lineTo x="21514" y="-35"/>
                <wp:lineTo x="-18" y="-35"/>
              </wp:wrapPolygon>
            </wp:wrapTight>
            <wp:docPr id="23803419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5FCF0CEE">
      <w:pPr>
        <w:spacing w:line="576" w:lineRule="exact"/>
        <w:rPr>
          <w:rFonts w:eastAsia="仿宋_GB2312" w:cs="仿宋_GB2312"/>
          <w:sz w:val="32"/>
          <w:szCs w:val="32"/>
        </w:rPr>
      </w:pPr>
    </w:p>
    <w:p w14:paraId="252FDD88">
      <w:pPr>
        <w:spacing w:line="576" w:lineRule="exact"/>
        <w:rPr>
          <w:rFonts w:eastAsia="仿宋_GB2312" w:cs="仿宋_GB2312"/>
          <w:sz w:val="32"/>
          <w:szCs w:val="32"/>
        </w:rPr>
      </w:pPr>
    </w:p>
    <w:p w14:paraId="3852606E">
      <w:pPr>
        <w:spacing w:line="576" w:lineRule="exact"/>
        <w:rPr>
          <w:rFonts w:eastAsia="仿宋_GB2312" w:cs="仿宋_GB2312"/>
          <w:sz w:val="32"/>
          <w:szCs w:val="32"/>
        </w:rPr>
      </w:pPr>
    </w:p>
    <w:p w14:paraId="4B4A3460">
      <w:pPr>
        <w:spacing w:line="576" w:lineRule="exact"/>
        <w:rPr>
          <w:rFonts w:eastAsia="仿宋_GB2312" w:cs="仿宋_GB2312"/>
          <w:sz w:val="32"/>
          <w:szCs w:val="32"/>
        </w:rPr>
      </w:pPr>
    </w:p>
    <w:p w14:paraId="78C82D99">
      <w:pPr>
        <w:spacing w:line="576" w:lineRule="exact"/>
        <w:rPr>
          <w:rFonts w:eastAsia="仿宋_GB2312" w:cs="仿宋_GB2312"/>
          <w:sz w:val="32"/>
          <w:szCs w:val="32"/>
        </w:rPr>
      </w:pPr>
    </w:p>
    <w:p w14:paraId="328A47E9">
      <w:pPr>
        <w:spacing w:line="576" w:lineRule="exact"/>
        <w:rPr>
          <w:rFonts w:eastAsia="仿宋_GB2312" w:cs="仿宋_GB2312"/>
          <w:sz w:val="32"/>
          <w:szCs w:val="32"/>
        </w:rPr>
      </w:pPr>
    </w:p>
    <w:p w14:paraId="7DF57CE6">
      <w:pPr>
        <w:spacing w:line="576" w:lineRule="exact"/>
        <w:ind w:firstLine="640" w:firstLineChars="200"/>
        <w:rPr>
          <w:rFonts w:eastAsia="仿宋_GB2312" w:cs="仿宋_GB2312"/>
          <w:sz w:val="32"/>
          <w:szCs w:val="32"/>
        </w:rPr>
      </w:pPr>
      <w:r>
        <w:rPr>
          <w:rFonts w:hint="eastAsia" w:eastAsia="仿宋_GB2312" w:cs="仿宋_GB2312"/>
          <w:sz w:val="32"/>
          <w:szCs w:val="32"/>
        </w:rPr>
        <w:t>（图3：支出决算结构图）（饼状图）</w:t>
      </w:r>
    </w:p>
    <w:p w14:paraId="4DC579CB">
      <w:pPr>
        <w:spacing w:line="576" w:lineRule="exact"/>
        <w:ind w:firstLine="800" w:firstLineChars="250"/>
        <w:rPr>
          <w:rFonts w:eastAsia="仿宋_GB2312" w:cs="仿宋_GB2312"/>
          <w:sz w:val="32"/>
          <w:szCs w:val="32"/>
        </w:rPr>
      </w:pPr>
    </w:p>
    <w:p w14:paraId="2BDE2C80">
      <w:pPr>
        <w:spacing w:line="576" w:lineRule="exact"/>
        <w:ind w:firstLine="640" w:firstLineChars="200"/>
        <w:outlineLvl w:val="1"/>
        <w:rPr>
          <w:rStyle w:val="29"/>
          <w:rFonts w:ascii="Times New Roman" w:hAnsi="Times New Roman" w:eastAsia="黑体"/>
          <w:b w:val="0"/>
        </w:rPr>
      </w:pPr>
      <w:bookmarkStart w:id="12" w:name="_Toc15377208"/>
      <w:bookmarkStart w:id="13"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12"/>
      <w:bookmarkEnd w:id="13"/>
    </w:p>
    <w:p w14:paraId="055DF67B">
      <w:pPr>
        <w:spacing w:line="576" w:lineRule="exact"/>
        <w:ind w:firstLine="640"/>
        <w:rPr>
          <w:rFonts w:eastAsia="仿宋_GB2312" w:cs="仿宋_GB2312"/>
          <w:sz w:val="32"/>
          <w:szCs w:val="32"/>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531.97</w:t>
      </w:r>
      <w:r>
        <w:rPr>
          <w:rFonts w:hint="eastAsia" w:eastAsia="仿宋_GB2312" w:cs="仿宋_GB2312"/>
          <w:sz w:val="32"/>
          <w:szCs w:val="32"/>
        </w:rPr>
        <w:t>万元。与2023年度相比，财政拨款收入总计、支出总计各增加35.06万元，增长7.06%。主要变动原因是</w:t>
      </w:r>
      <w:r>
        <w:rPr>
          <w:rFonts w:hint="eastAsia" w:ascii="仿宋_GB2312" w:eastAsia="仿宋_GB2312" w:cs="宋体"/>
          <w:sz w:val="32"/>
          <w:szCs w:val="32"/>
        </w:rPr>
        <w:t>24年增加文化产业发展专项项目</w:t>
      </w:r>
    </w:p>
    <w:p w14:paraId="00C58735">
      <w:pPr>
        <w:spacing w:line="576" w:lineRule="exact"/>
        <w:rPr>
          <w:rFonts w:eastAsia="仿宋_GB2312" w:cs="仿宋_GB2312"/>
          <w:sz w:val="32"/>
          <w:szCs w:val="32"/>
        </w:rPr>
      </w:pPr>
      <w:r>
        <w:drawing>
          <wp:anchor distT="0" distB="0" distL="0" distR="0" simplePos="0" relativeHeight="251660288" behindDoc="1" locked="0" layoutInCell="1" allowOverlap="1">
            <wp:simplePos x="0" y="0"/>
            <wp:positionH relativeFrom="column">
              <wp:posOffset>-21590</wp:posOffset>
            </wp:positionH>
            <wp:positionV relativeFrom="paragraph">
              <wp:posOffset>106680</wp:posOffset>
            </wp:positionV>
            <wp:extent cx="5274310" cy="3076575"/>
            <wp:effectExtent l="0" t="0" r="2540" b="9525"/>
            <wp:wrapNone/>
            <wp:docPr id="107798798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34E0AA69">
      <w:pPr>
        <w:pStyle w:val="2"/>
        <w:spacing w:line="576" w:lineRule="exact"/>
      </w:pPr>
    </w:p>
    <w:p w14:paraId="29F653CA">
      <w:pPr>
        <w:spacing w:line="576" w:lineRule="exact"/>
        <w:rPr>
          <w:rFonts w:eastAsia="仿宋_GB2312" w:cs="仿宋_GB2312"/>
          <w:sz w:val="32"/>
          <w:szCs w:val="32"/>
        </w:rPr>
      </w:pPr>
    </w:p>
    <w:p w14:paraId="69F942F6">
      <w:pPr>
        <w:pStyle w:val="2"/>
        <w:rPr>
          <w:rFonts w:eastAsia="仿宋_GB2312" w:cs="仿宋_GB2312"/>
          <w:sz w:val="32"/>
          <w:szCs w:val="32"/>
        </w:rPr>
      </w:pPr>
    </w:p>
    <w:p w14:paraId="1A8AC002">
      <w:pPr>
        <w:pStyle w:val="3"/>
        <w:ind w:left="420" w:firstLine="640"/>
        <w:rPr>
          <w:rFonts w:eastAsia="仿宋_GB2312" w:cs="仿宋_GB2312"/>
          <w:sz w:val="32"/>
        </w:rPr>
      </w:pPr>
    </w:p>
    <w:p w14:paraId="57F4C66C">
      <w:pPr>
        <w:pStyle w:val="3"/>
        <w:ind w:left="420" w:firstLine="640"/>
        <w:rPr>
          <w:rFonts w:eastAsia="仿宋_GB2312" w:cs="仿宋_GB2312"/>
          <w:sz w:val="32"/>
        </w:rPr>
      </w:pPr>
    </w:p>
    <w:p w14:paraId="0F1FF8C8">
      <w:pPr>
        <w:spacing w:line="576" w:lineRule="exact"/>
        <w:rPr>
          <w:rFonts w:eastAsia="仿宋_GB2312" w:cs="仿宋_GB2312"/>
          <w:sz w:val="32"/>
          <w:szCs w:val="32"/>
        </w:rPr>
      </w:pPr>
      <w:r>
        <w:rPr>
          <w:rFonts w:hint="eastAsia" w:eastAsia="仿宋_GB2312" w:cs="仿宋_GB2312"/>
          <w:sz w:val="32"/>
          <w:szCs w:val="32"/>
        </w:rPr>
        <w:t>（图4：财政拨款收、支决算总计变动情况）（柱状图）</w:t>
      </w:r>
    </w:p>
    <w:p w14:paraId="55D7D9AA">
      <w:pPr>
        <w:spacing w:line="576" w:lineRule="exact"/>
        <w:ind w:firstLine="640" w:firstLineChars="200"/>
        <w:outlineLvl w:val="1"/>
        <w:rPr>
          <w:rFonts w:hint="eastAsia" w:eastAsia="黑体"/>
          <w:sz w:val="32"/>
          <w:szCs w:val="32"/>
        </w:rPr>
      </w:pPr>
      <w:bookmarkStart w:id="14" w:name="_Toc15377209"/>
      <w:bookmarkStart w:id="15" w:name="_Toc15396607"/>
    </w:p>
    <w:p w14:paraId="4AE4A7AF">
      <w:pPr>
        <w:spacing w:line="576" w:lineRule="exact"/>
        <w:ind w:firstLine="640" w:firstLineChars="200"/>
        <w:outlineLvl w:val="1"/>
        <w:rPr>
          <w:rFonts w:hint="eastAsia" w:eastAsia="黑体"/>
          <w:sz w:val="32"/>
          <w:szCs w:val="32"/>
        </w:rPr>
      </w:pPr>
    </w:p>
    <w:p w14:paraId="5897C661">
      <w:pPr>
        <w:spacing w:line="576" w:lineRule="exact"/>
        <w:ind w:firstLine="640" w:firstLineChars="200"/>
        <w:outlineLvl w:val="1"/>
        <w:rPr>
          <w:rStyle w:val="29"/>
          <w:rFonts w:ascii="Times New Roman" w:hAnsi="Times New Roman" w:eastAsia="黑体"/>
          <w:b w:val="0"/>
        </w:rPr>
      </w:pPr>
      <w:bookmarkStart w:id="56" w:name="_GoBack"/>
      <w:bookmarkEnd w:id="56"/>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14"/>
      <w:bookmarkEnd w:id="15"/>
    </w:p>
    <w:p w14:paraId="51A25A25">
      <w:pPr>
        <w:spacing w:line="576" w:lineRule="exact"/>
        <w:ind w:firstLine="643" w:firstLineChars="200"/>
        <w:outlineLvl w:val="2"/>
        <w:rPr>
          <w:rFonts w:eastAsia="楷体_GB2312" w:cs="楷体_GB2312"/>
          <w:b/>
          <w:sz w:val="32"/>
          <w:szCs w:val="32"/>
        </w:rPr>
      </w:pPr>
      <w:bookmarkStart w:id="16" w:name="_Toc15377210"/>
      <w:r>
        <w:rPr>
          <w:rFonts w:hint="eastAsia" w:eastAsia="楷体_GB2312" w:cs="楷体_GB2312"/>
          <w:b/>
          <w:sz w:val="32"/>
          <w:szCs w:val="32"/>
        </w:rPr>
        <w:t>（一）一般公共预算财政拨款支出决算总体情况</w:t>
      </w:r>
      <w:bookmarkEnd w:id="16"/>
    </w:p>
    <w:p w14:paraId="5C690E4A">
      <w:pPr>
        <w:spacing w:line="576" w:lineRule="exact"/>
        <w:ind w:firstLine="640"/>
        <w:rPr>
          <w:rFonts w:ascii="仿宋_GB2312" w:eastAsia="仿宋_GB2312" w:cs="宋体"/>
          <w:sz w:val="32"/>
          <w:szCs w:val="32"/>
        </w:rPr>
      </w:pPr>
      <w:r>
        <w:rPr>
          <w:rFonts w:hint="eastAsia" w:ascii="仿宋_GB2312" w:hAnsi="仿宋_GB2312" w:eastAsia="仿宋_GB2312" w:cs="仿宋_GB2312"/>
          <w:sz w:val="32"/>
          <w:szCs w:val="32"/>
        </w:rPr>
        <w:t>2024年度一般公共预算财政拨款支出531.97万元，占本年支出合计的100%。与2023年度相比，一般公共预算财政拨款支出增加35.06万元，增长7.06%。主要变动原因是</w:t>
      </w:r>
      <w:r>
        <w:rPr>
          <w:rFonts w:hint="eastAsia" w:ascii="仿宋_GB2312" w:eastAsia="仿宋_GB2312" w:cs="宋体"/>
          <w:sz w:val="32"/>
          <w:szCs w:val="32"/>
        </w:rPr>
        <w:t>24年增加文化产业发展专项项目</w:t>
      </w:r>
    </w:p>
    <w:p w14:paraId="45560659">
      <w:pPr>
        <w:spacing w:line="576" w:lineRule="exact"/>
        <w:ind w:firstLine="640"/>
        <w:rPr>
          <w:rFonts w:ascii="仿宋_GB2312" w:eastAsia="仿宋_GB2312" w:cs="宋体"/>
          <w:sz w:val="32"/>
          <w:szCs w:val="32"/>
        </w:rPr>
      </w:pPr>
      <w:r>
        <w:drawing>
          <wp:anchor distT="0" distB="0" distL="0" distR="0" simplePos="0" relativeHeight="251663360" behindDoc="1" locked="0" layoutInCell="1" allowOverlap="1">
            <wp:simplePos x="0" y="0"/>
            <wp:positionH relativeFrom="column">
              <wp:posOffset>178435</wp:posOffset>
            </wp:positionH>
            <wp:positionV relativeFrom="paragraph">
              <wp:posOffset>179705</wp:posOffset>
            </wp:positionV>
            <wp:extent cx="5274310" cy="3076575"/>
            <wp:effectExtent l="0" t="0" r="2540" b="9525"/>
            <wp:wrapNone/>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103E5987">
      <w:pPr>
        <w:spacing w:line="576" w:lineRule="exact"/>
        <w:rPr>
          <w:rFonts w:ascii="仿宋_GB2312" w:eastAsia="仿宋_GB2312" w:cs="宋体"/>
          <w:sz w:val="32"/>
          <w:szCs w:val="32"/>
        </w:rPr>
      </w:pPr>
    </w:p>
    <w:p w14:paraId="42FD57AD">
      <w:pPr>
        <w:spacing w:line="576" w:lineRule="exact"/>
        <w:rPr>
          <w:rFonts w:eastAsia="仿宋_GB2312" w:cs="仿宋_GB2312"/>
          <w:sz w:val="32"/>
          <w:szCs w:val="32"/>
        </w:rPr>
      </w:pPr>
    </w:p>
    <w:p w14:paraId="0C195434">
      <w:pPr>
        <w:spacing w:line="576" w:lineRule="exact"/>
        <w:rPr>
          <w:rFonts w:eastAsia="仿宋_GB2312" w:cs="仿宋_GB2312"/>
          <w:sz w:val="32"/>
          <w:szCs w:val="32"/>
        </w:rPr>
      </w:pPr>
    </w:p>
    <w:p w14:paraId="42C005E3">
      <w:pPr>
        <w:spacing w:line="576" w:lineRule="exact"/>
        <w:rPr>
          <w:rFonts w:eastAsia="仿宋_GB2312" w:cs="仿宋_GB2312"/>
          <w:sz w:val="32"/>
          <w:szCs w:val="32"/>
        </w:rPr>
      </w:pPr>
    </w:p>
    <w:p w14:paraId="5BAEBBBE">
      <w:pPr>
        <w:spacing w:line="576" w:lineRule="exact"/>
        <w:rPr>
          <w:rFonts w:eastAsia="仿宋_GB2312" w:cs="仿宋_GB2312"/>
          <w:sz w:val="32"/>
          <w:szCs w:val="32"/>
        </w:rPr>
      </w:pPr>
    </w:p>
    <w:p w14:paraId="59653F8A">
      <w:pPr>
        <w:spacing w:line="576" w:lineRule="exact"/>
        <w:rPr>
          <w:rFonts w:eastAsia="仿宋_GB2312" w:cs="仿宋_GB2312"/>
          <w:sz w:val="32"/>
          <w:szCs w:val="32"/>
        </w:rPr>
      </w:pPr>
    </w:p>
    <w:p w14:paraId="1C4370F8">
      <w:pPr>
        <w:spacing w:line="576" w:lineRule="exact"/>
        <w:rPr>
          <w:rFonts w:eastAsia="仿宋_GB2312" w:cs="仿宋_GB2312"/>
          <w:sz w:val="32"/>
          <w:szCs w:val="32"/>
        </w:rPr>
      </w:pPr>
    </w:p>
    <w:p w14:paraId="625199C8">
      <w:pPr>
        <w:spacing w:line="576" w:lineRule="exact"/>
        <w:rPr>
          <w:rFonts w:eastAsia="仿宋_GB2312" w:cs="仿宋_GB2312"/>
          <w:sz w:val="32"/>
          <w:szCs w:val="32"/>
        </w:rPr>
      </w:pPr>
    </w:p>
    <w:p w14:paraId="6F8576A1">
      <w:pPr>
        <w:spacing w:line="576" w:lineRule="exact"/>
        <w:rPr>
          <w:rFonts w:eastAsia="仿宋_GB2312" w:cs="仿宋_GB2312"/>
          <w:sz w:val="32"/>
          <w:szCs w:val="32"/>
        </w:rPr>
      </w:pPr>
    </w:p>
    <w:p w14:paraId="6E24EAAF">
      <w:pPr>
        <w:spacing w:line="576" w:lineRule="exact"/>
        <w:rPr>
          <w:rFonts w:eastAsia="仿宋_GB2312" w:cs="仿宋_GB2312"/>
          <w:sz w:val="32"/>
          <w:szCs w:val="32"/>
        </w:rPr>
      </w:pPr>
      <w:r>
        <w:rPr>
          <w:rFonts w:hint="eastAsia" w:eastAsia="仿宋_GB2312" w:cs="仿宋_GB2312"/>
          <w:sz w:val="32"/>
          <w:szCs w:val="32"/>
        </w:rPr>
        <w:t>（图5：一般公共预算财政拨款支出决算变动情况）（柱状图）</w:t>
      </w:r>
    </w:p>
    <w:p w14:paraId="194C2081">
      <w:pPr>
        <w:spacing w:line="576" w:lineRule="exact"/>
        <w:ind w:firstLine="640"/>
        <w:rPr>
          <w:rFonts w:eastAsia="仿宋_GB2312" w:cs="仿宋_GB2312"/>
          <w:sz w:val="32"/>
          <w:szCs w:val="32"/>
        </w:rPr>
      </w:pPr>
    </w:p>
    <w:p w14:paraId="1887C21E">
      <w:pPr>
        <w:spacing w:line="576" w:lineRule="exact"/>
        <w:ind w:firstLine="643" w:firstLineChars="200"/>
        <w:outlineLvl w:val="2"/>
        <w:rPr>
          <w:rFonts w:eastAsia="楷体_GB2312" w:cs="楷体_GB2312"/>
          <w:b/>
          <w:sz w:val="32"/>
          <w:szCs w:val="32"/>
        </w:rPr>
      </w:pPr>
      <w:bookmarkStart w:id="17" w:name="_Toc15377211"/>
      <w:r>
        <w:rPr>
          <w:rFonts w:hint="eastAsia" w:eastAsia="楷体_GB2312" w:cs="楷体_GB2312"/>
          <w:b/>
          <w:sz w:val="32"/>
          <w:szCs w:val="32"/>
        </w:rPr>
        <w:t>（二）一般公共预算财政拨款支出决算结构情况</w:t>
      </w:r>
      <w:bookmarkEnd w:id="17"/>
    </w:p>
    <w:p w14:paraId="2B2EB6CA">
      <w:pPr>
        <w:spacing w:line="576" w:lineRule="exact"/>
        <w:ind w:firstLine="640"/>
        <w:rPr>
          <w:rFonts w:eastAsia="仿宋_GB2312" w:cs="仿宋_GB2312"/>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531.97万元</w:t>
      </w:r>
      <w:r>
        <w:rPr>
          <w:rFonts w:hint="eastAsia" w:eastAsia="仿宋_GB2312" w:cs="仿宋_GB2312"/>
          <w:sz w:val="32"/>
          <w:szCs w:val="32"/>
        </w:rPr>
        <w:t>，主要用于以下方面：文化旅游体育与传媒支出437.76万元，占82.29%；社会保障和就业支出47.19万元，占8.87%；卫生健康支出21.77万元，占4.09%；住房保障支出25.25万元，占4.75%.</w:t>
      </w:r>
    </w:p>
    <w:p w14:paraId="3A273E92">
      <w:pPr>
        <w:pStyle w:val="2"/>
        <w:rPr>
          <w:rFonts w:eastAsia="仿宋_GB2312" w:cs="仿宋_GB2312"/>
          <w:sz w:val="32"/>
          <w:szCs w:val="32"/>
        </w:rPr>
      </w:pPr>
    </w:p>
    <w:p w14:paraId="0E98430E">
      <w:pPr>
        <w:pStyle w:val="3"/>
        <w:ind w:left="420" w:firstLine="640"/>
        <w:rPr>
          <w:rFonts w:eastAsia="仿宋_GB2312" w:cs="仿宋_GB2312"/>
          <w:sz w:val="32"/>
        </w:rPr>
      </w:pPr>
    </w:p>
    <w:p w14:paraId="025125AA">
      <w:pPr>
        <w:pStyle w:val="3"/>
        <w:ind w:left="420" w:firstLine="640"/>
        <w:rPr>
          <w:rFonts w:eastAsia="仿宋_GB2312" w:cs="仿宋_GB2312"/>
          <w:sz w:val="32"/>
        </w:rPr>
      </w:pPr>
    </w:p>
    <w:p w14:paraId="7E1E995C">
      <w:pPr>
        <w:spacing w:line="576" w:lineRule="exact"/>
        <w:ind w:firstLine="640"/>
        <w:rPr>
          <w:rFonts w:eastAsia="仿宋_GB2312" w:cs="仿宋_GB2312"/>
          <w:sz w:val="32"/>
          <w:szCs w:val="32"/>
        </w:rPr>
      </w:pPr>
      <w:r>
        <w:rPr>
          <w:rFonts w:eastAsia="仿宋_GB2312" w:cs="仿宋_GB2312"/>
          <w:sz w:val="32"/>
          <w:szCs w:val="32"/>
        </w:rPr>
        <w:drawing>
          <wp:anchor distT="0" distB="0" distL="0" distR="0" simplePos="0" relativeHeight="251659264" behindDoc="1" locked="0" layoutInCell="1" allowOverlap="1">
            <wp:simplePos x="0" y="0"/>
            <wp:positionH relativeFrom="column">
              <wp:posOffset>-38735</wp:posOffset>
            </wp:positionH>
            <wp:positionV relativeFrom="paragraph">
              <wp:posOffset>139700</wp:posOffset>
            </wp:positionV>
            <wp:extent cx="5274310" cy="3076575"/>
            <wp:effectExtent l="5080" t="4445" r="16510" b="5080"/>
            <wp:wrapNone/>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76EE5DE0">
      <w:pPr>
        <w:spacing w:line="576" w:lineRule="exact"/>
        <w:ind w:firstLine="640"/>
        <w:rPr>
          <w:rFonts w:eastAsia="仿宋_GB2312" w:cs="仿宋_GB2312"/>
          <w:sz w:val="32"/>
          <w:szCs w:val="32"/>
        </w:rPr>
      </w:pPr>
    </w:p>
    <w:p w14:paraId="31944A18">
      <w:pPr>
        <w:spacing w:line="576" w:lineRule="exact"/>
        <w:ind w:firstLine="640"/>
        <w:rPr>
          <w:rFonts w:eastAsia="仿宋_GB2312" w:cs="仿宋_GB2312"/>
          <w:sz w:val="32"/>
          <w:szCs w:val="32"/>
        </w:rPr>
      </w:pPr>
    </w:p>
    <w:p w14:paraId="20EB4DF7">
      <w:pPr>
        <w:pStyle w:val="2"/>
        <w:spacing w:line="576" w:lineRule="exact"/>
        <w:rPr>
          <w:rFonts w:eastAsia="仿宋_GB2312" w:cs="仿宋_GB2312"/>
          <w:sz w:val="32"/>
          <w:szCs w:val="32"/>
        </w:rPr>
      </w:pPr>
    </w:p>
    <w:p w14:paraId="7E1ACF00">
      <w:pPr>
        <w:spacing w:line="576" w:lineRule="exact"/>
        <w:rPr>
          <w:rFonts w:eastAsia="仿宋_GB2312" w:cs="仿宋_GB2312"/>
          <w:sz w:val="32"/>
          <w:szCs w:val="32"/>
        </w:rPr>
      </w:pPr>
    </w:p>
    <w:p w14:paraId="65841DC5">
      <w:pPr>
        <w:spacing w:line="576" w:lineRule="exact"/>
        <w:rPr>
          <w:rFonts w:eastAsia="仿宋_GB2312" w:cs="仿宋_GB2312"/>
          <w:sz w:val="32"/>
          <w:szCs w:val="32"/>
        </w:rPr>
      </w:pPr>
    </w:p>
    <w:p w14:paraId="187708A1">
      <w:pPr>
        <w:spacing w:line="576" w:lineRule="exact"/>
        <w:rPr>
          <w:rFonts w:eastAsia="仿宋_GB2312" w:cs="仿宋_GB2312"/>
          <w:sz w:val="32"/>
          <w:szCs w:val="32"/>
        </w:rPr>
      </w:pPr>
    </w:p>
    <w:p w14:paraId="2992B7D8">
      <w:pPr>
        <w:pStyle w:val="2"/>
        <w:rPr>
          <w:rFonts w:eastAsia="仿宋_GB2312" w:cs="仿宋_GB2312"/>
          <w:sz w:val="32"/>
          <w:szCs w:val="32"/>
        </w:rPr>
      </w:pPr>
    </w:p>
    <w:p w14:paraId="7CA3AB83">
      <w:pPr>
        <w:pStyle w:val="3"/>
        <w:ind w:left="420" w:firstLine="640"/>
        <w:rPr>
          <w:rFonts w:eastAsia="仿宋_GB2312" w:cs="仿宋_GB2312"/>
          <w:sz w:val="32"/>
        </w:rPr>
      </w:pPr>
    </w:p>
    <w:p w14:paraId="2DF7BCD3">
      <w:pPr>
        <w:spacing w:line="576" w:lineRule="exact"/>
        <w:rPr>
          <w:rFonts w:eastAsia="仿宋_GB2312" w:cs="仿宋_GB2312"/>
          <w:sz w:val="32"/>
          <w:szCs w:val="32"/>
        </w:rPr>
      </w:pPr>
      <w:r>
        <w:rPr>
          <w:rFonts w:hint="eastAsia" w:eastAsia="仿宋_GB2312" w:cs="仿宋_GB2312"/>
          <w:sz w:val="32"/>
          <w:szCs w:val="32"/>
        </w:rPr>
        <w:t>（图6：一般公共预算财政拨款支出决算结构）（饼状图）</w:t>
      </w:r>
    </w:p>
    <w:p w14:paraId="1413A46D">
      <w:pPr>
        <w:spacing w:line="576" w:lineRule="exact"/>
        <w:ind w:firstLine="640"/>
        <w:rPr>
          <w:rFonts w:eastAsia="仿宋_GB2312" w:cs="仿宋_GB2312"/>
          <w:sz w:val="32"/>
          <w:szCs w:val="32"/>
        </w:rPr>
      </w:pPr>
    </w:p>
    <w:p w14:paraId="50979ECC">
      <w:pPr>
        <w:spacing w:line="576" w:lineRule="exact"/>
        <w:ind w:firstLine="643" w:firstLineChars="200"/>
        <w:outlineLvl w:val="2"/>
        <w:rPr>
          <w:rFonts w:eastAsia="楷体_GB2312" w:cs="楷体_GB2312"/>
          <w:b/>
          <w:sz w:val="32"/>
          <w:szCs w:val="32"/>
        </w:rPr>
      </w:pPr>
      <w:bookmarkStart w:id="18" w:name="_Toc15377212"/>
      <w:r>
        <w:rPr>
          <w:rFonts w:hint="eastAsia" w:eastAsia="楷体_GB2312" w:cs="楷体_GB2312"/>
          <w:b/>
          <w:sz w:val="32"/>
          <w:szCs w:val="32"/>
        </w:rPr>
        <w:t>（三）一般公共预算财政拨款支出决算具体情况</w:t>
      </w:r>
      <w:bookmarkEnd w:id="18"/>
    </w:p>
    <w:p w14:paraId="63B3D099">
      <w:pPr>
        <w:spacing w:line="576" w:lineRule="exact"/>
        <w:ind w:firstLine="640"/>
        <w:rPr>
          <w:rFonts w:eastAsia="仿宋_GB2312" w:cs="仿宋_GB2312"/>
          <w:sz w:val="32"/>
          <w:szCs w:val="32"/>
        </w:rPr>
      </w:pPr>
      <w:bookmarkStart w:id="19" w:name="_Toc15378460"/>
      <w:bookmarkStart w:id="20" w:name="_Toc15377444"/>
      <w:bookmarkStart w:id="21" w:name="_Toc15377213"/>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531.97，</w:t>
      </w:r>
      <w:r>
        <w:rPr>
          <w:rFonts w:hint="eastAsia" w:eastAsia="仿宋_GB2312" w:cs="仿宋_GB2312"/>
          <w:sz w:val="32"/>
          <w:szCs w:val="32"/>
        </w:rPr>
        <w:t>完成预算100%。其中：</w:t>
      </w:r>
      <w:bookmarkEnd w:id="19"/>
      <w:bookmarkEnd w:id="20"/>
      <w:bookmarkEnd w:id="21"/>
    </w:p>
    <w:p w14:paraId="04566B48">
      <w:pPr>
        <w:spacing w:line="576" w:lineRule="exact"/>
        <w:ind w:firstLine="640"/>
        <w:rPr>
          <w:rFonts w:eastAsia="仿宋_GB2312" w:cs="仿宋_GB2312"/>
          <w:sz w:val="32"/>
          <w:szCs w:val="32"/>
        </w:rPr>
      </w:pPr>
      <w:r>
        <w:rPr>
          <w:rFonts w:hint="eastAsia" w:eastAsia="仿宋_GB2312" w:cs="仿宋_GB2312"/>
          <w:sz w:val="32"/>
          <w:szCs w:val="32"/>
        </w:rPr>
        <w:t>1.文化旅游体育与传媒</w:t>
      </w:r>
      <w:r>
        <w:rPr>
          <w:rFonts w:hint="eastAsia" w:ascii="仿宋_GB2312" w:hAnsi="宋体" w:eastAsia="仿宋_GB2312" w:cs="宋体"/>
          <w:color w:val="000000"/>
          <w:kern w:val="0"/>
          <w:sz w:val="32"/>
          <w:szCs w:val="32"/>
        </w:rPr>
        <w:t>207（类）04（款）06（项）</w:t>
      </w:r>
      <w:r>
        <w:rPr>
          <w:rFonts w:hint="eastAsia" w:eastAsia="仿宋_GB2312" w:cs="仿宋_GB2312"/>
          <w:sz w:val="32"/>
          <w:szCs w:val="32"/>
        </w:rPr>
        <w:t>：支出决算为437.76万元，完成预算100%，与预算数持平</w:t>
      </w:r>
    </w:p>
    <w:p w14:paraId="025E59A4">
      <w:pPr>
        <w:spacing w:line="576" w:lineRule="exact"/>
        <w:ind w:firstLine="640"/>
        <w:rPr>
          <w:rFonts w:eastAsia="仿宋_GB2312" w:cs="仿宋_GB2312"/>
          <w:sz w:val="32"/>
          <w:szCs w:val="32"/>
        </w:rPr>
      </w:pPr>
      <w:r>
        <w:rPr>
          <w:rFonts w:hint="eastAsia" w:eastAsia="仿宋_GB2312" w:cs="仿宋_GB2312"/>
          <w:sz w:val="32"/>
          <w:szCs w:val="32"/>
        </w:rPr>
        <w:t>2.社会保障和就业</w:t>
      </w:r>
      <w:r>
        <w:rPr>
          <w:rFonts w:hint="eastAsia" w:ascii="仿宋_GB2312" w:hAnsi="宋体" w:eastAsia="仿宋_GB2312" w:cs="宋体"/>
          <w:color w:val="000000"/>
          <w:kern w:val="0"/>
          <w:sz w:val="32"/>
          <w:szCs w:val="32"/>
        </w:rPr>
        <w:t>208（类）05（款）06（项）</w:t>
      </w:r>
      <w:r>
        <w:rPr>
          <w:rFonts w:hint="eastAsia" w:ascii="仿宋_GB2312" w:eastAsia="仿宋_GB2312" w:cs="仿宋_GB2312"/>
          <w:sz w:val="32"/>
          <w:szCs w:val="32"/>
        </w:rPr>
        <w:t>：</w:t>
      </w:r>
      <w:r>
        <w:rPr>
          <w:rFonts w:hint="eastAsia" w:eastAsia="仿宋_GB2312" w:cs="仿宋_GB2312"/>
          <w:sz w:val="32"/>
          <w:szCs w:val="32"/>
        </w:rPr>
        <w:t>支出决算为47.19万元，完成预算*100%，与预算数持平。</w:t>
      </w:r>
    </w:p>
    <w:p w14:paraId="78A189B1">
      <w:pPr>
        <w:spacing w:line="576" w:lineRule="exact"/>
        <w:ind w:firstLine="640"/>
        <w:rPr>
          <w:rFonts w:eastAsia="仿宋_GB2312" w:cs="仿宋_GB2312"/>
          <w:sz w:val="32"/>
          <w:szCs w:val="32"/>
        </w:rPr>
      </w:pPr>
      <w:r>
        <w:rPr>
          <w:rFonts w:hint="eastAsia" w:eastAsia="仿宋_GB2312" w:cs="仿宋_GB2312"/>
          <w:sz w:val="32"/>
          <w:szCs w:val="32"/>
        </w:rPr>
        <w:t>3.卫生健康</w:t>
      </w:r>
      <w:r>
        <w:rPr>
          <w:rFonts w:hint="eastAsia" w:ascii="仿宋_GB2312" w:hAnsi="宋体" w:eastAsia="仿宋_GB2312" w:cs="宋体"/>
          <w:color w:val="000000"/>
          <w:kern w:val="0"/>
          <w:sz w:val="32"/>
          <w:szCs w:val="32"/>
        </w:rPr>
        <w:t>210（类）11（款）02（项）</w:t>
      </w:r>
      <w:r>
        <w:rPr>
          <w:rFonts w:hint="eastAsia" w:eastAsia="仿宋_GB2312" w:cs="仿宋_GB2312"/>
          <w:sz w:val="32"/>
          <w:szCs w:val="32"/>
        </w:rPr>
        <w:t>：支出决算为21.77万元，完成预算100%，与预算数持平。</w:t>
      </w:r>
    </w:p>
    <w:p w14:paraId="682C5671">
      <w:pPr>
        <w:widowControl/>
        <w:snapToGrid w:val="0"/>
        <w:spacing w:line="576"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bCs/>
          <w:color w:val="000000"/>
          <w:kern w:val="0"/>
          <w:sz w:val="32"/>
          <w:szCs w:val="32"/>
        </w:rPr>
        <w:t>4．住房性保障221（类）02（款）01（项）:支出决算为</w:t>
      </w:r>
      <w:r>
        <w:rPr>
          <w:rFonts w:hint="eastAsia" w:ascii="仿宋_GB2312" w:hAnsi="宋体" w:eastAsia="仿宋_GB2312" w:cs="宋体"/>
          <w:kern w:val="0"/>
          <w:sz w:val="32"/>
          <w:szCs w:val="32"/>
        </w:rPr>
        <w:t>25.25</w:t>
      </w:r>
      <w:r>
        <w:rPr>
          <w:rFonts w:hint="eastAsia" w:ascii="仿宋_GB2312" w:hAnsi="宋体" w:eastAsia="仿宋_GB2312" w:cs="宋体"/>
          <w:bCs/>
          <w:color w:val="000000"/>
          <w:kern w:val="0"/>
          <w:sz w:val="32"/>
          <w:szCs w:val="32"/>
        </w:rPr>
        <w:t>万元，完成预算100%。</w:t>
      </w:r>
      <w:r>
        <w:rPr>
          <w:rFonts w:hint="eastAsia" w:eastAsia="仿宋_GB2312" w:cs="仿宋_GB2312"/>
          <w:sz w:val="32"/>
          <w:szCs w:val="32"/>
        </w:rPr>
        <w:t>与预算数持平</w:t>
      </w:r>
    </w:p>
    <w:p w14:paraId="07FD29A9">
      <w:pPr>
        <w:tabs>
          <w:tab w:val="right" w:pos="8306"/>
        </w:tabs>
        <w:spacing w:line="576" w:lineRule="exact"/>
        <w:ind w:firstLine="640" w:firstLineChars="200"/>
        <w:outlineLvl w:val="1"/>
        <w:rPr>
          <w:rStyle w:val="29"/>
          <w:rFonts w:ascii="Times New Roman" w:hAnsi="Times New Roman"/>
        </w:rPr>
      </w:pPr>
      <w:bookmarkStart w:id="22" w:name="_Toc15377214"/>
      <w:bookmarkStart w:id="23"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22"/>
      <w:bookmarkEnd w:id="23"/>
      <w:r>
        <w:rPr>
          <w:rStyle w:val="29"/>
          <w:rFonts w:ascii="Times New Roman" w:hAnsi="Times New Roman" w:eastAsia="黑体"/>
          <w:b w:val="0"/>
        </w:rPr>
        <w:tab/>
      </w:r>
    </w:p>
    <w:p w14:paraId="1633EE7F">
      <w:pPr>
        <w:spacing w:line="576" w:lineRule="exact"/>
        <w:ind w:firstLine="640"/>
        <w:rPr>
          <w:rFonts w:eastAsia="仿宋_GB2312" w:cs="仿宋_GB2312"/>
          <w:spacing w:val="-6"/>
          <w:sz w:val="32"/>
          <w:szCs w:val="32"/>
        </w:rPr>
      </w:pPr>
      <w:r>
        <w:rPr>
          <w:rFonts w:hint="eastAsia" w:eastAsia="仿宋_GB2312" w:cs="仿宋_GB2312"/>
          <w:spacing w:val="-6"/>
          <w:sz w:val="32"/>
          <w:szCs w:val="32"/>
        </w:rPr>
        <w:t>2024年度一般公共预算财政拨款基本支出</w:t>
      </w:r>
      <w:r>
        <w:rPr>
          <w:rFonts w:hint="eastAsia" w:ascii="仿宋_GB2312" w:hAnsi="仿宋_GB2312" w:eastAsia="仿宋_GB2312" w:cs="仿宋_GB2312"/>
          <w:spacing w:val="-6"/>
          <w:sz w:val="32"/>
          <w:szCs w:val="32"/>
        </w:rPr>
        <w:t>405.67万</w:t>
      </w:r>
      <w:r>
        <w:rPr>
          <w:rFonts w:hint="eastAsia" w:eastAsia="仿宋_GB2312" w:cs="仿宋_GB2312"/>
          <w:spacing w:val="-6"/>
          <w:sz w:val="32"/>
          <w:szCs w:val="32"/>
        </w:rPr>
        <w:t>元，其中：</w:t>
      </w:r>
    </w:p>
    <w:p w14:paraId="61513728">
      <w:pPr>
        <w:spacing w:line="576"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370.73万</w:t>
      </w:r>
      <w:r>
        <w:rPr>
          <w:rFonts w:hint="eastAsia" w:eastAsia="仿宋_GB2312" w:cs="仿宋_GB2312"/>
          <w:sz w:val="32"/>
          <w:szCs w:val="32"/>
        </w:rPr>
        <w:t>元，主要包括：基本工资58.45万元、津贴补贴36.08万元、奖金33.92万元、伙食补助费4.7万元、绩效工资87.93万元、机关事业单位基本养老保险缴费28.63万元、职业年金缴费14.33万元、职工基本医疗保险缴费14.27万元，其他社会保障缴费11.02万元、抚恤金5.95万元、生活补助52.17万元、住房公积金23.25万元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34.94万</w:t>
      </w:r>
      <w:r>
        <w:rPr>
          <w:rFonts w:hint="eastAsia" w:eastAsia="仿宋_GB2312" w:cs="仿宋_GB2312"/>
          <w:sz w:val="32"/>
          <w:szCs w:val="32"/>
        </w:rPr>
        <w:t>元，主要包括：办公费5.04万元、咨询费1.2万元、水费0.84万元、电费0.52万元、邮电费3.45万元、差旅费4.57万元、维修（护）费0.71万元、培训费3.47万元、劳务费2.46万元、福利费4.82万元、公务用车运行维护费2.77万元、其他商品和服务支出5.1万元等。</w:t>
      </w:r>
    </w:p>
    <w:p w14:paraId="03BDDC24">
      <w:pPr>
        <w:numPr>
          <w:ilvl w:val="0"/>
          <w:numId w:val="3"/>
        </w:numPr>
        <w:spacing w:line="576" w:lineRule="exact"/>
        <w:ind w:firstLine="640"/>
        <w:outlineLvl w:val="1"/>
        <w:rPr>
          <w:rStyle w:val="29"/>
          <w:rFonts w:ascii="Times New Roman" w:hAnsi="Times New Roman" w:eastAsia="黑体"/>
          <w:b w:val="0"/>
        </w:rPr>
      </w:pPr>
      <w:bookmarkStart w:id="24" w:name="_Toc15377215"/>
      <w:bookmarkStart w:id="25" w:name="_Toc15396609"/>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24"/>
      <w:bookmarkEnd w:id="25"/>
      <w:bookmarkStart w:id="26" w:name="_Toc15377216"/>
    </w:p>
    <w:p w14:paraId="25B3060E">
      <w:pPr>
        <w:spacing w:line="576" w:lineRule="exact"/>
        <w:ind w:firstLine="482" w:firstLineChars="150"/>
        <w:outlineLvl w:val="1"/>
        <w:rPr>
          <w:rFonts w:eastAsia="楷体_GB2312" w:cs="楷体_GB2312"/>
          <w:b/>
          <w:sz w:val="32"/>
          <w:szCs w:val="32"/>
        </w:rPr>
      </w:pPr>
      <w:r>
        <w:rPr>
          <w:rFonts w:hint="eastAsia" w:eastAsia="楷体_GB2312" w:cs="楷体_GB2312"/>
          <w:b/>
          <w:sz w:val="32"/>
          <w:szCs w:val="32"/>
        </w:rPr>
        <w:t>（一）“三公”经费财政拨款支出决算总体情况说明</w:t>
      </w:r>
      <w:bookmarkEnd w:id="26"/>
    </w:p>
    <w:p w14:paraId="5FFC0AAB">
      <w:pPr>
        <w:spacing w:line="576" w:lineRule="exact"/>
        <w:ind w:firstLine="640"/>
        <w:rPr>
          <w:rFonts w:eastAsia="仿宋_GB2312" w:cs="仿宋_GB2312"/>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2.77万元，完成预算64.99%，</w:t>
      </w:r>
      <w:r>
        <w:rPr>
          <w:rFonts w:hint="eastAsia" w:eastAsia="仿宋_GB2312" w:cs="仿宋_GB2312"/>
          <w:sz w:val="32"/>
          <w:szCs w:val="32"/>
        </w:rPr>
        <w:t>较上年度减少2.19万元，下降44.2%。决算数小于预算数的主要原因是公务外出减少，无公务用车购置费，公务用车运行维护费支出相应减少。</w:t>
      </w:r>
    </w:p>
    <w:p w14:paraId="63323C2D">
      <w:pPr>
        <w:spacing w:line="576" w:lineRule="exact"/>
        <w:ind w:firstLine="482" w:firstLineChars="150"/>
        <w:outlineLvl w:val="1"/>
        <w:rPr>
          <w:rFonts w:eastAsia="楷体_GB2312" w:cs="楷体_GB2312"/>
          <w:b/>
          <w:sz w:val="32"/>
          <w:szCs w:val="32"/>
        </w:rPr>
      </w:pPr>
      <w:bookmarkStart w:id="27" w:name="_Toc15377217"/>
      <w:r>
        <w:rPr>
          <w:rFonts w:hint="eastAsia" w:eastAsia="楷体_GB2312" w:cs="楷体_GB2312"/>
          <w:b/>
          <w:sz w:val="32"/>
          <w:szCs w:val="32"/>
        </w:rPr>
        <w:t>（二）“三公”经费财政拨款支出决算具体情况说明</w:t>
      </w:r>
      <w:bookmarkEnd w:id="27"/>
    </w:p>
    <w:p w14:paraId="193B866E">
      <w:pPr>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2024年度“三公”经费财政拨款支出决算中，因公出国（境）费支出决算0万元，占0%；公务用车购置及运行维护费支出决算2.77万元，占0%；公务接待费支出决算0万元，占0%。具体情况如下：</w:t>
      </w:r>
    </w:p>
    <w:p w14:paraId="60C91A1D">
      <w:pPr>
        <w:spacing w:line="576" w:lineRule="exact"/>
        <w:ind w:firstLine="640"/>
        <w:rPr>
          <w:rFonts w:eastAsia="仿宋_GB2312" w:cs="仿宋_GB2312"/>
          <w:sz w:val="32"/>
          <w:szCs w:val="32"/>
        </w:rPr>
      </w:pPr>
      <w:r>
        <w:rPr>
          <w:rFonts w:hint="eastAsia" w:eastAsia="仿宋_GB2312" w:cs="仿宋_GB2312"/>
          <w:sz w:val="32"/>
          <w:szCs w:val="32"/>
        </w:rPr>
        <w:drawing>
          <wp:anchor distT="0" distB="0" distL="114300" distR="114300" simplePos="0" relativeHeight="251667456" behindDoc="1" locked="0" layoutInCell="1" allowOverlap="1">
            <wp:simplePos x="0" y="0"/>
            <wp:positionH relativeFrom="column">
              <wp:posOffset>0</wp:posOffset>
            </wp:positionH>
            <wp:positionV relativeFrom="paragraph">
              <wp:posOffset>4445</wp:posOffset>
            </wp:positionV>
            <wp:extent cx="5360035" cy="3357880"/>
            <wp:effectExtent l="4445" t="4445" r="7620" b="15875"/>
            <wp:wrapNone/>
            <wp:docPr id="963612612" name="图表 9636126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5CB507D3">
      <w:pPr>
        <w:spacing w:line="576" w:lineRule="exact"/>
        <w:ind w:firstLine="640"/>
        <w:rPr>
          <w:rFonts w:eastAsia="仿宋_GB2312" w:cs="仿宋_GB2312"/>
          <w:sz w:val="32"/>
          <w:szCs w:val="32"/>
        </w:rPr>
      </w:pPr>
    </w:p>
    <w:p w14:paraId="420DB4C6">
      <w:pPr>
        <w:spacing w:line="576" w:lineRule="exact"/>
        <w:ind w:firstLine="640"/>
        <w:rPr>
          <w:rFonts w:eastAsia="仿宋_GB2312" w:cs="仿宋_GB2312"/>
          <w:sz w:val="32"/>
          <w:szCs w:val="32"/>
        </w:rPr>
      </w:pPr>
    </w:p>
    <w:p w14:paraId="3841A037">
      <w:pPr>
        <w:spacing w:line="576" w:lineRule="exact"/>
        <w:ind w:firstLine="640"/>
        <w:rPr>
          <w:rFonts w:eastAsia="仿宋_GB2312" w:cs="仿宋_GB2312"/>
          <w:sz w:val="32"/>
          <w:szCs w:val="32"/>
        </w:rPr>
      </w:pPr>
    </w:p>
    <w:p w14:paraId="1053D712">
      <w:pPr>
        <w:spacing w:line="576" w:lineRule="exact"/>
        <w:ind w:firstLine="640"/>
        <w:rPr>
          <w:rFonts w:eastAsia="仿宋_GB2312" w:cs="仿宋_GB2312"/>
          <w:sz w:val="32"/>
          <w:szCs w:val="32"/>
        </w:rPr>
      </w:pPr>
    </w:p>
    <w:p w14:paraId="59808650">
      <w:pPr>
        <w:spacing w:line="576" w:lineRule="exact"/>
        <w:ind w:firstLine="640"/>
        <w:rPr>
          <w:rFonts w:eastAsia="仿宋_GB2312" w:cs="仿宋_GB2312"/>
          <w:sz w:val="32"/>
          <w:szCs w:val="32"/>
        </w:rPr>
      </w:pPr>
    </w:p>
    <w:p w14:paraId="48994384">
      <w:pPr>
        <w:spacing w:line="576" w:lineRule="exact"/>
        <w:ind w:firstLine="640"/>
        <w:rPr>
          <w:rFonts w:eastAsia="仿宋_GB2312" w:cs="仿宋_GB2312"/>
          <w:sz w:val="32"/>
          <w:szCs w:val="32"/>
        </w:rPr>
      </w:pPr>
    </w:p>
    <w:p w14:paraId="73B7FE65">
      <w:pPr>
        <w:spacing w:line="576" w:lineRule="exact"/>
        <w:ind w:firstLine="640"/>
        <w:rPr>
          <w:rFonts w:eastAsia="仿宋_GB2312" w:cs="仿宋_GB2312"/>
          <w:sz w:val="32"/>
          <w:szCs w:val="32"/>
        </w:rPr>
      </w:pPr>
    </w:p>
    <w:p w14:paraId="54AC73BB">
      <w:pPr>
        <w:spacing w:line="576" w:lineRule="exact"/>
        <w:ind w:firstLine="640"/>
        <w:rPr>
          <w:rFonts w:eastAsia="仿宋_GB2312" w:cs="仿宋_GB2312"/>
          <w:sz w:val="32"/>
          <w:szCs w:val="32"/>
        </w:rPr>
      </w:pPr>
    </w:p>
    <w:p w14:paraId="26282C0C">
      <w:pPr>
        <w:spacing w:line="576" w:lineRule="exact"/>
        <w:ind w:firstLine="640"/>
        <w:rPr>
          <w:rFonts w:eastAsia="仿宋_GB2312" w:cs="仿宋_GB2312"/>
          <w:sz w:val="32"/>
          <w:szCs w:val="32"/>
        </w:rPr>
      </w:pPr>
    </w:p>
    <w:p w14:paraId="1BA0FC03">
      <w:pPr>
        <w:spacing w:line="576" w:lineRule="exact"/>
        <w:ind w:firstLine="640"/>
        <w:rPr>
          <w:rFonts w:eastAsia="仿宋_GB2312" w:cs="仿宋_GB2312"/>
          <w:sz w:val="32"/>
          <w:szCs w:val="32"/>
        </w:rPr>
      </w:pPr>
      <w:r>
        <w:rPr>
          <w:rFonts w:hint="eastAsia" w:eastAsia="仿宋_GB2312" w:cs="仿宋_GB2312"/>
          <w:sz w:val="32"/>
          <w:szCs w:val="32"/>
        </w:rPr>
        <w:t>（图7：“三公”经费财政拨款支出结构）（饼状图）</w:t>
      </w:r>
    </w:p>
    <w:p w14:paraId="09F0AE99">
      <w:pPr>
        <w:spacing w:line="576"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w:t>
      </w:r>
      <w:r>
        <w:rPr>
          <w:rFonts w:hint="eastAsia" w:ascii="仿宋_GB2312" w:eastAsia="仿宋_GB2312"/>
          <w:sz w:val="32"/>
          <w:szCs w:val="32"/>
        </w:rPr>
        <w:t>因公出国（境）支出决算与2023年持平。</w:t>
      </w:r>
    </w:p>
    <w:p w14:paraId="7166DD33">
      <w:pPr>
        <w:spacing w:line="576"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2.77万</w:t>
      </w:r>
      <w:r>
        <w:rPr>
          <w:rFonts w:hint="eastAsia" w:eastAsia="仿宋_GB2312" w:cs="仿宋_GB2312"/>
          <w:b/>
          <w:bCs/>
          <w:sz w:val="32"/>
          <w:szCs w:val="32"/>
        </w:rPr>
        <w:t>元，完成预算100%。</w:t>
      </w:r>
      <w:r>
        <w:rPr>
          <w:rFonts w:hint="eastAsia" w:eastAsia="仿宋_GB2312" w:cs="仿宋_GB2312"/>
          <w:sz w:val="32"/>
          <w:szCs w:val="32"/>
        </w:rPr>
        <w:t>较上年度减少2.19万元，下降44.2%。决算数小于预算数的主要原因是公务外出减少。</w:t>
      </w:r>
    </w:p>
    <w:p w14:paraId="1240E185">
      <w:pPr>
        <w:spacing w:line="576"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出0</w:t>
      </w:r>
      <w:r>
        <w:rPr>
          <w:rFonts w:hint="eastAsia" w:eastAsia="仿宋_GB2312" w:cs="仿宋_GB2312"/>
          <w:sz w:val="32"/>
          <w:szCs w:val="32"/>
        </w:rPr>
        <w:t>万元。全年按规定更新购置公务用车0辆，其中：轿车0辆、金额0万元，越野车0辆、金额0万元，载客汽车0辆、金额0万元，主要用于</w:t>
      </w:r>
      <w:r>
        <w:rPr>
          <w:rFonts w:hint="eastAsia" w:ascii="仿宋_GB2312" w:eastAsia="仿宋_GB2312"/>
          <w:sz w:val="32"/>
          <w:szCs w:val="32"/>
        </w:rPr>
        <w:t>对13县农村电影放映的监管工作，影城工作，中心工作等</w:t>
      </w:r>
      <w:r>
        <w:rPr>
          <w:rFonts w:hint="eastAsia" w:eastAsia="仿宋_GB2312" w:cs="仿宋_GB2312"/>
          <w:sz w:val="32"/>
          <w:szCs w:val="32"/>
        </w:rPr>
        <w:t>。截至2024年12月31日，单位共有公务用车1辆，其中：轿车0辆，越野车1辆、载客汽车0辆。</w:t>
      </w:r>
    </w:p>
    <w:p w14:paraId="5E1865AF">
      <w:pPr>
        <w:spacing w:line="576"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出2.77</w:t>
      </w:r>
      <w:r>
        <w:rPr>
          <w:rFonts w:hint="eastAsia" w:eastAsia="仿宋_GB2312" w:cs="仿宋_GB2312"/>
          <w:sz w:val="32"/>
          <w:szCs w:val="32"/>
        </w:rPr>
        <w:t>万元。主要用于中心业务工</w:t>
      </w:r>
      <w:r>
        <w:rPr>
          <w:rFonts w:hint="eastAsia" w:eastAsia="仿宋_GB2312" w:cs="仿宋_GB2312"/>
          <w:spacing w:val="-6"/>
          <w:sz w:val="32"/>
          <w:szCs w:val="32"/>
        </w:rPr>
        <w:t>作所需的公务用车燃料费、维修费、过路过桥费、保险费等支出。</w:t>
      </w:r>
    </w:p>
    <w:p w14:paraId="6901D785">
      <w:pPr>
        <w:spacing w:line="576" w:lineRule="exact"/>
        <w:ind w:firstLine="640"/>
        <w:rPr>
          <w:rFonts w:ascii="仿宋_GB2312" w:eastAsia="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0万</w:t>
      </w:r>
      <w:r>
        <w:rPr>
          <w:rFonts w:hint="eastAsia" w:eastAsia="仿宋_GB2312" w:cs="仿宋_GB2312"/>
          <w:b/>
          <w:bCs/>
          <w:sz w:val="32"/>
          <w:szCs w:val="32"/>
        </w:rPr>
        <w:t>元，完成预算0%。</w:t>
      </w:r>
      <w:r>
        <w:rPr>
          <w:rFonts w:hint="eastAsia" w:ascii="仿宋_GB2312" w:eastAsia="仿宋_GB2312"/>
          <w:sz w:val="32"/>
          <w:szCs w:val="32"/>
        </w:rPr>
        <w:t>公务接待费支出决算与2023年度持平。</w:t>
      </w:r>
    </w:p>
    <w:p w14:paraId="06B5E735">
      <w:pPr>
        <w:spacing w:line="576" w:lineRule="exact"/>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出0万</w:t>
      </w:r>
      <w:r>
        <w:rPr>
          <w:rFonts w:hint="eastAsia" w:eastAsia="仿宋_GB2312" w:cs="仿宋_GB2312"/>
          <w:sz w:val="32"/>
          <w:szCs w:val="32"/>
        </w:rPr>
        <w:t>元，国内公务接</w:t>
      </w:r>
      <w:r>
        <w:rPr>
          <w:rFonts w:hint="eastAsia" w:ascii="仿宋_GB2312" w:hAnsi="仿宋_GB2312" w:eastAsia="仿宋_GB2312" w:cs="仿宋_GB2312"/>
          <w:sz w:val="32"/>
          <w:szCs w:val="32"/>
        </w:rPr>
        <w:t>待0批次，0</w:t>
      </w:r>
      <w:r>
        <w:rPr>
          <w:rFonts w:hint="eastAsia" w:eastAsia="仿宋_GB2312" w:cs="仿宋_GB2312"/>
          <w:sz w:val="32"/>
          <w:szCs w:val="32"/>
        </w:rPr>
        <w:t>人次共计支出0万元。</w:t>
      </w:r>
    </w:p>
    <w:p w14:paraId="0B738039">
      <w:pPr>
        <w:spacing w:line="576" w:lineRule="exact"/>
        <w:ind w:firstLine="640"/>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出0万元，外事接待0批次，0人次（共计支出0万</w:t>
      </w:r>
      <w:r>
        <w:rPr>
          <w:rFonts w:hint="eastAsia" w:eastAsia="仿宋_GB2312" w:cs="仿宋_GB2312"/>
          <w:sz w:val="32"/>
          <w:szCs w:val="32"/>
        </w:rPr>
        <w:t>元。</w:t>
      </w:r>
    </w:p>
    <w:p w14:paraId="690AC560">
      <w:pPr>
        <w:spacing w:line="576" w:lineRule="exact"/>
        <w:ind w:firstLine="640" w:firstLineChars="200"/>
        <w:outlineLvl w:val="1"/>
        <w:rPr>
          <w:rStyle w:val="29"/>
          <w:rFonts w:ascii="Times New Roman" w:hAnsi="Times New Roman" w:eastAsia="黑体"/>
        </w:rPr>
      </w:pPr>
      <w:bookmarkStart w:id="28" w:name="_Toc15377218"/>
      <w:bookmarkStart w:id="29" w:name="_Toc15396610"/>
      <w:r>
        <w:rPr>
          <w:rFonts w:hint="eastAsia" w:eastAsia="黑体"/>
          <w:sz w:val="32"/>
          <w:szCs w:val="32"/>
        </w:rPr>
        <w:t>八、</w:t>
      </w:r>
      <w:r>
        <w:rPr>
          <w:rStyle w:val="29"/>
          <w:rFonts w:hint="eastAsia" w:ascii="Times New Roman" w:hAnsi="Times New Roman" w:eastAsia="黑体"/>
          <w:b w:val="0"/>
        </w:rPr>
        <w:t>政府性基金预算支出决算情况说明</w:t>
      </w:r>
      <w:bookmarkEnd w:id="28"/>
      <w:bookmarkEnd w:id="29"/>
    </w:p>
    <w:p w14:paraId="5D42D654">
      <w:pPr>
        <w:spacing w:line="576"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2024年度政府性基金预算财政拨款支出0万元，占本年支出合计的0%</w:t>
      </w:r>
      <w:r>
        <w:rPr>
          <w:rFonts w:hint="eastAsia" w:eastAsia="仿宋_GB2312" w:cs="仿宋_GB2312"/>
          <w:sz w:val="32"/>
          <w:szCs w:val="32"/>
        </w:rPr>
        <w:t>。与2023年度相比，政府性基金预算财政拨款支出增加/减少0万元，增长/下降0%。</w:t>
      </w:r>
    </w:p>
    <w:p w14:paraId="68254847">
      <w:pPr>
        <w:spacing w:line="576" w:lineRule="exact"/>
        <w:ind w:left="630"/>
        <w:outlineLvl w:val="1"/>
        <w:rPr>
          <w:rStyle w:val="29"/>
          <w:rFonts w:ascii="Times New Roman" w:hAnsi="Times New Roman" w:eastAsia="黑体"/>
          <w:b w:val="0"/>
        </w:rPr>
      </w:pPr>
      <w:bookmarkStart w:id="30" w:name="_Toc15377219"/>
      <w:bookmarkStart w:id="31" w:name="_Toc15396611"/>
      <w:r>
        <w:rPr>
          <w:rStyle w:val="29"/>
          <w:rFonts w:hint="eastAsia" w:ascii="Times New Roman" w:hAnsi="Times New Roman" w:eastAsia="黑体"/>
          <w:b w:val="0"/>
        </w:rPr>
        <w:t>九、国有资本经营预算支出决算情况说明</w:t>
      </w:r>
      <w:bookmarkEnd w:id="30"/>
      <w:bookmarkEnd w:id="31"/>
    </w:p>
    <w:p w14:paraId="7952BDFB">
      <w:pPr>
        <w:spacing w:line="576"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。与2023年度相比，国有资本经营预算财政拨款支出增加/减少0万元，增长/下降0%。</w:t>
      </w:r>
    </w:p>
    <w:p w14:paraId="764F3F7D">
      <w:pPr>
        <w:spacing w:line="576" w:lineRule="exact"/>
        <w:ind w:left="630"/>
        <w:outlineLvl w:val="1"/>
        <w:rPr>
          <w:rStyle w:val="29"/>
          <w:rFonts w:ascii="Times New Roman" w:hAnsi="Times New Roman" w:eastAsia="黑体"/>
          <w:b w:val="0"/>
        </w:rPr>
      </w:pPr>
      <w:bookmarkStart w:id="32" w:name="_Toc15377221"/>
      <w:bookmarkStart w:id="33" w:name="_Toc15396612"/>
      <w:r>
        <w:rPr>
          <w:rStyle w:val="29"/>
          <w:rFonts w:hint="eastAsia" w:ascii="Times New Roman" w:hAnsi="Times New Roman" w:eastAsia="黑体"/>
          <w:b w:val="0"/>
        </w:rPr>
        <w:t>十、其他重要事项的情况说明</w:t>
      </w:r>
      <w:bookmarkEnd w:id="32"/>
      <w:bookmarkEnd w:id="33"/>
    </w:p>
    <w:p w14:paraId="5943A19C">
      <w:pPr>
        <w:spacing w:line="576" w:lineRule="exact"/>
        <w:ind w:firstLine="482" w:firstLineChars="150"/>
        <w:outlineLvl w:val="1"/>
        <w:rPr>
          <w:rFonts w:eastAsia="楷体_GB2312" w:cs="楷体_GB2312"/>
          <w:b/>
          <w:sz w:val="32"/>
          <w:szCs w:val="32"/>
        </w:rPr>
      </w:pPr>
      <w:bookmarkStart w:id="34" w:name="_Toc15377222"/>
      <w:r>
        <w:rPr>
          <w:rFonts w:hint="eastAsia" w:eastAsia="楷体_GB2312" w:cs="楷体_GB2312"/>
          <w:b/>
          <w:sz w:val="32"/>
          <w:szCs w:val="32"/>
        </w:rPr>
        <w:t>（一）机关运行经费支出情况</w:t>
      </w:r>
      <w:bookmarkEnd w:id="34"/>
    </w:p>
    <w:p w14:paraId="129BB99D">
      <w:pPr>
        <w:spacing w:line="576"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，四川省阿坝州电影服务中心机关运行经费支出0万</w:t>
      </w:r>
      <w:r>
        <w:rPr>
          <w:rFonts w:hint="eastAsia" w:eastAsia="仿宋_GB2312" w:cs="仿宋_GB2312"/>
          <w:sz w:val="32"/>
          <w:szCs w:val="32"/>
        </w:rPr>
        <w:t>元，比2023年度增加/减少0万元，增长/下降0%。</w:t>
      </w:r>
    </w:p>
    <w:p w14:paraId="7B2C6AA3">
      <w:pPr>
        <w:spacing w:line="576" w:lineRule="exact"/>
        <w:ind w:firstLine="482" w:firstLineChars="150"/>
        <w:outlineLvl w:val="1"/>
        <w:rPr>
          <w:rFonts w:eastAsia="楷体_GB2312" w:cs="楷体_GB2312"/>
          <w:b/>
          <w:sz w:val="32"/>
          <w:szCs w:val="32"/>
        </w:rPr>
      </w:pPr>
      <w:bookmarkStart w:id="35" w:name="_Toc15377223"/>
      <w:r>
        <w:rPr>
          <w:rFonts w:hint="eastAsia" w:eastAsia="楷体_GB2312" w:cs="楷体_GB2312"/>
          <w:b/>
          <w:sz w:val="32"/>
          <w:szCs w:val="32"/>
        </w:rPr>
        <w:t>（二）政府采购支出情况</w:t>
      </w:r>
      <w:bookmarkEnd w:id="35"/>
    </w:p>
    <w:p w14:paraId="7203EEAA">
      <w:pPr>
        <w:spacing w:line="576" w:lineRule="exact"/>
        <w:ind w:firstLine="640"/>
        <w:rPr>
          <w:rFonts w:eastAsia="仿宋_GB2312" w:cs="仿宋_GB2312"/>
          <w:sz w:val="32"/>
          <w:szCs w:val="32"/>
        </w:rPr>
      </w:pPr>
      <w:r>
        <w:rPr>
          <w:rFonts w:hint="eastAsia" w:ascii="仿宋_GB2312" w:hAnsi="仿宋_GB2312" w:eastAsia="仿宋_GB2312" w:cs="仿宋_GB2312"/>
          <w:sz w:val="32"/>
          <w:szCs w:val="32"/>
        </w:rPr>
        <w:t>2024年度，四川省阿坝州电影服务中心政府采购支出总额70.17万元，其中：政府采购货物支出69.73万元、政府采购工程支出0万元、政府采购服务支出0.44万元。主要用于支付公务用车车辆保险费。授予中小企业合同金额0万元，占政府采购支出总额的0%，其中：授予小微企业合同金额0万元，占政府采购支出总额的0%。</w:t>
      </w:r>
    </w:p>
    <w:p w14:paraId="1BE7EEEA">
      <w:pPr>
        <w:spacing w:line="576" w:lineRule="exact"/>
        <w:ind w:firstLine="482" w:firstLineChars="150"/>
        <w:outlineLvl w:val="1"/>
        <w:rPr>
          <w:rFonts w:eastAsia="楷体_GB2312" w:cs="楷体_GB2312"/>
          <w:b/>
          <w:sz w:val="32"/>
          <w:szCs w:val="32"/>
        </w:rPr>
      </w:pPr>
      <w:bookmarkStart w:id="36" w:name="_Toc15377224"/>
      <w:r>
        <w:rPr>
          <w:rFonts w:hint="eastAsia" w:eastAsia="楷体_GB2312" w:cs="楷体_GB2312"/>
          <w:b/>
          <w:sz w:val="32"/>
          <w:szCs w:val="32"/>
        </w:rPr>
        <w:t>（三）国有资产占有使用情况</w:t>
      </w:r>
      <w:bookmarkEnd w:id="36"/>
    </w:p>
    <w:p w14:paraId="2BC543ED">
      <w:pPr>
        <w:spacing w:line="576"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截至2024年12月31日，四川省阿坝州电影服务中心共有车辆1辆，其中：主要负责人用车0辆、机要通信用车0辆、应急保障用车0辆、其他用车1辆，其他用车主要是用于</w:t>
      </w:r>
      <w:r>
        <w:rPr>
          <w:rFonts w:hint="eastAsia" w:ascii="仿宋_GB2312" w:eastAsia="仿宋_GB2312"/>
          <w:sz w:val="32"/>
          <w:szCs w:val="32"/>
        </w:rPr>
        <w:t>对13县农村电影放映的监管工作，影城工作，中心工作等</w:t>
      </w:r>
      <w:r>
        <w:rPr>
          <w:rFonts w:hint="eastAsia" w:ascii="仿宋_GB2312" w:hAnsi="仿宋_GB2312" w:eastAsia="仿宋_GB2312" w:cs="仿宋_GB2312"/>
          <w:sz w:val="32"/>
          <w:szCs w:val="32"/>
        </w:rPr>
        <w:t>。单价100万元（含）以上设备（不含车辆）2台（套）</w:t>
      </w:r>
      <w:r>
        <w:rPr>
          <w:rFonts w:hint="eastAsia" w:eastAsia="仿宋_GB2312" w:cs="仿宋_GB2312"/>
          <w:sz w:val="32"/>
          <w:szCs w:val="32"/>
        </w:rPr>
        <w:t>。</w:t>
      </w:r>
    </w:p>
    <w:p w14:paraId="49CBA86C">
      <w:pPr>
        <w:spacing w:line="576" w:lineRule="exact"/>
        <w:ind w:firstLine="482" w:firstLineChars="150"/>
        <w:outlineLvl w:val="1"/>
        <w:rPr>
          <w:rFonts w:eastAsia="楷体_GB2312" w:cs="楷体_GB2312"/>
          <w:b/>
          <w:sz w:val="32"/>
          <w:szCs w:val="32"/>
        </w:rPr>
      </w:pPr>
      <w:r>
        <w:rPr>
          <w:rFonts w:hint="eastAsia" w:eastAsia="楷体_GB2312" w:cs="楷体_GB2312"/>
          <w:b/>
          <w:sz w:val="32"/>
          <w:szCs w:val="32"/>
        </w:rPr>
        <w:t>（四）预算绩效管理情况</w:t>
      </w:r>
    </w:p>
    <w:p w14:paraId="228C7210">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2024年度预算编制阶段，组织对３项目（影城运行，文化产业发展专项支出，农村公益性电影放映运行费）等3个项目开展了预算事前绩效评估，对3个项目编制了绩效目标，预算执行过程中，选取3个项目开展绩效监控，组织对3个项目开展绩效自评，绩效自评表详见第四部分附件。</w:t>
      </w:r>
    </w:p>
    <w:p w14:paraId="7DB9B098">
      <w:pPr>
        <w:spacing w:line="576" w:lineRule="exact"/>
        <w:ind w:firstLine="2200" w:firstLineChars="500"/>
        <w:jc w:val="both"/>
        <w:outlineLvl w:val="0"/>
        <w:rPr>
          <w:rFonts w:eastAsia="黑体"/>
          <w:sz w:val="44"/>
          <w:szCs w:val="44"/>
        </w:rPr>
      </w:pPr>
      <w:bookmarkStart w:id="37" w:name="_Toc15377225"/>
      <w:bookmarkStart w:id="38" w:name="_Toc15396613"/>
      <w:r>
        <w:rPr>
          <w:rFonts w:hint="eastAsia" w:eastAsia="黑体"/>
          <w:sz w:val="44"/>
          <w:szCs w:val="44"/>
        </w:rPr>
        <w:t>第三部分名词解释</w:t>
      </w:r>
      <w:bookmarkEnd w:id="37"/>
      <w:bookmarkEnd w:id="38"/>
    </w:p>
    <w:p w14:paraId="57B8BE77">
      <w:pPr>
        <w:spacing w:line="576" w:lineRule="exact"/>
        <w:jc w:val="left"/>
        <w:rPr>
          <w:b/>
          <w:sz w:val="44"/>
          <w:szCs w:val="44"/>
        </w:rPr>
      </w:pPr>
    </w:p>
    <w:p w14:paraId="656FAFD3">
      <w:pPr>
        <w:spacing w:line="576" w:lineRule="exact"/>
        <w:ind w:firstLine="640" w:firstLineChars="200"/>
        <w:rPr>
          <w:rFonts w:hint="eastAsia" w:ascii="仿宋_GB2312" w:hAnsi="仿宋_GB2312" w:eastAsia="仿宋_GB2312" w:cs="仿宋_GB2312"/>
          <w:color w:val="000000"/>
          <w:sz w:val="32"/>
          <w:szCs w:val="32"/>
        </w:rPr>
      </w:pPr>
      <w:bookmarkStart w:id="39" w:name="_Toc15377226"/>
      <w:r>
        <w:rPr>
          <w:rFonts w:hint="eastAsia" w:ascii="仿宋_GB2312" w:hAnsi="仿宋_GB2312" w:eastAsia="仿宋_GB2312" w:cs="仿宋_GB2312"/>
          <w:color w:val="000000"/>
          <w:sz w:val="32"/>
          <w:szCs w:val="32"/>
        </w:rPr>
        <w:t>1.财政拨款收入：指单位从同级财政部门取得的财政预算资金。</w:t>
      </w:r>
    </w:p>
    <w:p w14:paraId="08B90E44">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2.事业收入：指事业单位开展专业业务活动及辅助活动取得的收入。如…（二级预算单位事业收入情况）等。</w:t>
      </w:r>
    </w:p>
    <w:p w14:paraId="3E650DA9">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3.经营收入：指事业单位在专业业务活动及其辅助活动之外开展非独立核算经营活动取得的收入。如…（二级预算单位经营收入情况）等。</w:t>
      </w:r>
    </w:p>
    <w:p w14:paraId="45C9E6C2">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4.其他收入：指单位取得的除上述收入以外的各项收入。主要是…（收入类型）等。</w:t>
      </w:r>
    </w:p>
    <w:p w14:paraId="6DA67C90">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5.使用非财政拨款结余：指事业单位使用以前年度积累的非财政拨款结余弥补当年收支差额的金额。</w:t>
      </w:r>
    </w:p>
    <w:p w14:paraId="27058338">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6.年初结转和结余：指以前年度尚未完成、结转到本年按有关规定继续使用的资金。</w:t>
      </w:r>
    </w:p>
    <w:p w14:paraId="1987CC32">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14:paraId="09B14D45">
      <w:pPr>
        <w:spacing w:line="576"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14:paraId="71EDFEE5">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9.文化体育与传媒（类）其他文化体育与传媒（款）宣传文化发展专项支出（项）：指宣传部按照国家有关政策支持宣传文化单位发展的专项支出。</w:t>
      </w:r>
    </w:p>
    <w:p w14:paraId="5258852F">
      <w:pPr>
        <w:spacing w:line="576" w:lineRule="exact"/>
        <w:ind w:firstLine="480" w:firstLineChars="15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10.社会保障和就业支出（类）行政事业单位离退休（款）机关事业单位基本养老保险缴费（项）：指机关事业单位实施养老保险制度由单位缴纳的基本养老保险费支出。</w:t>
      </w:r>
    </w:p>
    <w:p w14:paraId="28FA4ECB">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11.社会保障和就业支出（类）行政事业单位离退休（款）机关事业单位职业年金缴费（项）：指机关事业单位实施养老保险制度由单位实际缴纳的职业年金支出。</w:t>
      </w:r>
    </w:p>
    <w:p w14:paraId="25AD78BF">
      <w:pPr>
        <w:spacing w:line="576" w:lineRule="exact"/>
        <w:ind w:firstLine="480" w:firstLineChars="15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12.医疗卫生与计划生育支出（类）行政事业单位医疗（款）行政单位医疗（项）：指由行政单位缴纳的医疗保险费支出。</w:t>
      </w:r>
    </w:p>
    <w:p w14:paraId="0AFDF74E">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13.医疗卫生与计划生育支出（类）行政事业单位医疗（款）公务员医疗补助（项）：指由行政单位缴纳的公务员医疗补助费。</w:t>
      </w:r>
    </w:p>
    <w:p w14:paraId="4C051C7D">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14.住房保障支出（类）住房改革支出（款）住房公积金（项）：按人力资源和社会保障部、财政部规定的基本工资和津补贴以及规定比例为职工缴纳的住房公积金。</w:t>
      </w:r>
    </w:p>
    <w:p w14:paraId="7B22C73D">
      <w:pPr>
        <w:spacing w:line="576" w:lineRule="exact"/>
        <w:ind w:firstLine="640" w:firstLineChars="200"/>
        <w:rPr>
          <w:rFonts w:ascii="仿宋_GB2312" w:eastAsia="仿宋_GB2312"/>
          <w:sz w:val="32"/>
          <w:szCs w:val="32"/>
        </w:rPr>
      </w:pPr>
      <w:r>
        <w:rPr>
          <w:rFonts w:hint="eastAsia" w:ascii="仿宋_GB2312" w:eastAsia="仿宋_GB2312"/>
          <w:sz w:val="32"/>
          <w:szCs w:val="32"/>
        </w:rPr>
        <w:t>15.基本支出：指为保障机构正常运转、完成日常工作任务而发生的人员支出和公用支出。</w:t>
      </w:r>
    </w:p>
    <w:p w14:paraId="00427B94">
      <w:pPr>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16.项目支出：指在基本支出之外为完成特定行政任务和事业发展目标所发生的支出。 </w:t>
      </w:r>
    </w:p>
    <w:p w14:paraId="118B9F88">
      <w:pPr>
        <w:spacing w:line="576" w:lineRule="exact"/>
        <w:ind w:firstLine="640" w:firstLineChars="200"/>
        <w:rPr>
          <w:rFonts w:ascii="仿宋_GB2312" w:eastAsia="仿宋_GB2312"/>
          <w:sz w:val="32"/>
          <w:szCs w:val="32"/>
        </w:rPr>
      </w:pPr>
      <w:r>
        <w:rPr>
          <w:rFonts w:hint="eastAsia" w:ascii="仿宋_GB2312" w:eastAsia="仿宋_GB2312"/>
          <w:sz w:val="32"/>
          <w:szCs w:val="32"/>
        </w:rPr>
        <w:t>17.经营支出：指事业单位在专业业务活动及其辅助活动之外开展非独立核算经营活动发生的支出。</w:t>
      </w:r>
    </w:p>
    <w:p w14:paraId="3473D1D1">
      <w:pPr>
        <w:pStyle w:val="26"/>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18</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A45039D">
      <w:pPr>
        <w:pStyle w:val="26"/>
        <w:spacing w:line="576" w:lineRule="exact"/>
        <w:ind w:firstLine="640" w:firstLineChars="200"/>
        <w:rPr>
          <w:rFonts w:ascii="仿宋_GB2312" w:eastAsia="仿宋_GB2312"/>
          <w:sz w:val="32"/>
          <w:szCs w:val="32"/>
        </w:rPr>
      </w:pPr>
      <w:r>
        <w:rPr>
          <w:rFonts w:hint="eastAsia" w:ascii="仿宋_GB2312" w:eastAsia="仿宋_GB2312"/>
          <w:sz w:val="32"/>
          <w:szCs w:val="32"/>
        </w:rPr>
        <w:t>19．人员经费:为保障的各类劳动报酬以及缴纳的社会各项社会保险费，包括基本工资、津贴补贴、奖金、其他社会保障缴费、伙食补助费、绩效工资、机关事业单位基本养老保险缴费、职业年金缴费其他社会保障缴费、其他工资福利支出。</w:t>
      </w:r>
    </w:p>
    <w:p w14:paraId="24A89566">
      <w:pPr>
        <w:spacing w:line="576" w:lineRule="exact"/>
        <w:ind w:firstLine="640" w:firstLineChars="200"/>
        <w:jc w:val="left"/>
        <w:rPr>
          <w:rStyle w:val="28"/>
          <w:rFonts w:eastAsia="黑体"/>
          <w:b w:val="0"/>
        </w:rPr>
      </w:pPr>
      <w:r>
        <w:rPr>
          <w:rFonts w:hint="eastAsia" w:ascii="仿宋_GB2312" w:eastAsia="仿宋_GB2312"/>
          <w:sz w:val="32"/>
          <w:szCs w:val="32"/>
        </w:rPr>
        <w:t>20.对个人和家庭的补助：为保障个人和家庭的补助支出，包括离休费、退休费、抚恤金、生活补助、救济费、医疗费、助学金、奖励金、生产补贴、住房公积金、提租补贴、购房贴、采暖补贴、其他对个人和家庭的补助支出</w:t>
      </w:r>
      <w:r>
        <w:rPr>
          <w:rFonts w:hint="eastAsia" w:eastAsia="仿宋_GB2312" w:cs="仿宋_GB2312"/>
          <w:sz w:val="32"/>
          <w:szCs w:val="32"/>
        </w:rPr>
        <w:br w:type="page"/>
      </w:r>
      <w:bookmarkStart w:id="40" w:name="_Toc15396614"/>
      <w:r>
        <w:rPr>
          <w:rFonts w:hint="eastAsia" w:eastAsia="黑体"/>
          <w:sz w:val="44"/>
          <w:szCs w:val="44"/>
        </w:rPr>
        <w:t>第四部分 附件</w:t>
      </w:r>
      <w:bookmarkEnd w:id="40"/>
    </w:p>
    <w:p w14:paraId="071A04AD">
      <w:pPr>
        <w:spacing w:line="576" w:lineRule="exact"/>
        <w:jc w:val="left"/>
        <w:outlineLvl w:val="0"/>
        <w:rPr>
          <w:rFonts w:eastAsia="黑体" w:cs="方正小标宋简体"/>
          <w:sz w:val="44"/>
          <w:szCs w:val="44"/>
        </w:rPr>
      </w:pPr>
    </w:p>
    <w:p w14:paraId="0C3202F2">
      <w:pPr>
        <w:widowControl/>
        <w:spacing w:line="576"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rPr>
        <w:t>部门预算绩效自评报告范本</w:t>
      </w:r>
    </w:p>
    <w:p w14:paraId="75A7A3D3">
      <w:pPr>
        <w:widowControl/>
        <w:spacing w:line="576" w:lineRule="exact"/>
        <w:contextualSpacing/>
        <w:rPr>
          <w:rFonts w:hint="eastAsia" w:ascii="仿宋" w:hAnsi="仿宋" w:eastAsia="仿宋"/>
          <w:bCs/>
          <w:sz w:val="32"/>
          <w:szCs w:val="32"/>
          <w:shd w:val="clear" w:color="auto" w:fill="FFFFFF"/>
        </w:rPr>
      </w:pPr>
    </w:p>
    <w:p w14:paraId="3B44D269">
      <w:pPr>
        <w:widowControl/>
        <w:spacing w:line="560" w:lineRule="exact"/>
        <w:ind w:firstLine="640" w:firstLineChars="200"/>
        <w:contextualSpacing/>
        <w:rPr>
          <w:rFonts w:hint="eastAsia" w:ascii="仿宋" w:hAnsi="仿宋" w:eastAsia="仿宋"/>
          <w:bCs/>
          <w:sz w:val="32"/>
          <w:szCs w:val="32"/>
          <w:shd w:val="clear" w:color="auto" w:fill="FFFFFF"/>
        </w:rPr>
      </w:pPr>
      <w:r>
        <w:rPr>
          <w:rFonts w:hint="eastAsia" w:ascii="黑体" w:hAnsi="黑体" w:eastAsia="黑体" w:cs="黑体"/>
          <w:bCs/>
          <w:sz w:val="32"/>
          <w:szCs w:val="32"/>
          <w:shd w:val="clear" w:color="auto" w:fill="FFFFFF"/>
        </w:rPr>
        <w:t>一、部门（单位）基本情况</w:t>
      </w:r>
    </w:p>
    <w:p w14:paraId="5A48CA41">
      <w:pPr>
        <w:widowControl/>
        <w:spacing w:line="560" w:lineRule="exact"/>
        <w:ind w:firstLine="643" w:firstLineChars="200"/>
        <w:contextualSpacing/>
        <w:rPr>
          <w:rFonts w:hint="eastAsia" w:ascii="仿宋_GB2312" w:hAnsi="仿宋_GB2312" w:eastAsia="仿宋_GB2312" w:cs="仿宋_GB2312"/>
          <w:bCs/>
          <w:sz w:val="32"/>
          <w:szCs w:val="32"/>
          <w:shd w:val="clear" w:color="auto" w:fill="FFFFFF"/>
        </w:rPr>
      </w:pPr>
      <w:r>
        <w:rPr>
          <w:rFonts w:hint="eastAsia" w:ascii="楷体_GB2312" w:hAnsi="楷体_GB2312" w:eastAsia="楷体_GB2312" w:cs="楷体_GB2312"/>
          <w:b/>
          <w:sz w:val="32"/>
          <w:szCs w:val="32"/>
          <w:shd w:val="clear" w:color="auto" w:fill="FFFFFF"/>
        </w:rPr>
        <w:t>（一）机构组成</w:t>
      </w:r>
    </w:p>
    <w:p w14:paraId="3583FDB9">
      <w:pPr>
        <w:widowControl/>
        <w:spacing w:line="560" w:lineRule="exact"/>
        <w:ind w:firstLine="640" w:firstLineChars="200"/>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阿坝州电影服务中心成立于1959年1月，1998年11月，经州政府第八次常务会确定为差额补贴事业单位； 2014年1月，经全州事业单位分类改革确定为公益二类事业单位，将原“阿坝藏族羌族自治州电影发行放映公司”更名为“阿坝藏族羌族自治州电影服务中心”；2019年6月，经机构改革调整，划归中共阿坝州委宣传部管理。</w:t>
      </w:r>
    </w:p>
    <w:p w14:paraId="23A98171">
      <w:pPr>
        <w:widowControl/>
        <w:spacing w:line="560" w:lineRule="exact"/>
        <w:ind w:firstLine="643" w:firstLineChars="200"/>
        <w:contextualSpacing/>
        <w:rPr>
          <w:rFonts w:hint="eastAsia" w:ascii="楷体_GB2312" w:hAnsi="楷体_GB2312" w:eastAsia="楷体_GB2312" w:cs="楷体_GB2312"/>
          <w:b/>
          <w:sz w:val="32"/>
          <w:szCs w:val="32"/>
          <w:shd w:val="clear" w:color="auto" w:fill="FFFFFF"/>
        </w:rPr>
      </w:pPr>
      <w:r>
        <w:rPr>
          <w:rFonts w:hint="eastAsia" w:ascii="楷体_GB2312" w:hAnsi="楷体_GB2312" w:eastAsia="楷体_GB2312" w:cs="楷体_GB2312"/>
          <w:b/>
          <w:sz w:val="32"/>
          <w:szCs w:val="32"/>
          <w:shd w:val="clear" w:color="auto" w:fill="FFFFFF"/>
        </w:rPr>
        <w:t>（二）机构职能</w:t>
      </w:r>
    </w:p>
    <w:p w14:paraId="38D7A0B8">
      <w:pPr>
        <w:widowControl/>
        <w:spacing w:line="560" w:lineRule="exact"/>
        <w:ind w:firstLine="640" w:firstLineChars="200"/>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我单位现为中共阿坝州委宣传部直属的具有独立法人资格的差额拨款公益性二类科级事业机构。其职责为繁荣文化市场、丰富人民群众文化生活，负责全州农村公益电影放映组织管理，协助主管部门完成全州公益电影放映任务，做好全州城市影院建设，负责马尔康太平洋影城经营、管理。</w:t>
      </w:r>
    </w:p>
    <w:p w14:paraId="433D966C">
      <w:pPr>
        <w:widowControl/>
        <w:spacing w:line="560" w:lineRule="exact"/>
        <w:ind w:firstLine="643" w:firstLineChars="200"/>
        <w:contextualSpacing/>
        <w:rPr>
          <w:rFonts w:hint="eastAsia" w:ascii="楷体_GB2312" w:hAnsi="楷体_GB2312" w:eastAsia="楷体_GB2312" w:cs="楷体_GB2312"/>
          <w:b/>
          <w:sz w:val="32"/>
          <w:szCs w:val="32"/>
          <w:shd w:val="clear" w:color="auto" w:fill="FFFFFF"/>
        </w:rPr>
      </w:pPr>
      <w:r>
        <w:rPr>
          <w:rFonts w:hint="eastAsia" w:ascii="楷体_GB2312" w:hAnsi="楷体_GB2312" w:eastAsia="楷体_GB2312" w:cs="楷体_GB2312"/>
          <w:b/>
          <w:sz w:val="32"/>
          <w:szCs w:val="32"/>
          <w:shd w:val="clear" w:color="auto" w:fill="FFFFFF"/>
        </w:rPr>
        <w:t>（三）人员概况</w:t>
      </w:r>
    </w:p>
    <w:p w14:paraId="2CC0966F">
      <w:pPr>
        <w:widowControl/>
        <w:spacing w:line="560" w:lineRule="exact"/>
        <w:ind w:firstLine="640" w:firstLineChars="200"/>
        <w:contextualSpacing/>
        <w:jc w:val="left"/>
        <w:rPr>
          <w:rFonts w:hint="eastAsia" w:ascii="仿宋" w:hAnsi="仿宋" w:eastAsia="仿宋"/>
          <w:bCs/>
          <w:sz w:val="32"/>
          <w:szCs w:val="32"/>
          <w:shd w:val="clear" w:color="auto" w:fill="FFFFFF"/>
        </w:rPr>
      </w:pPr>
      <w:r>
        <w:rPr>
          <w:rFonts w:hint="eastAsia" w:ascii="仿宋_GB2312" w:hAnsi="仿宋_GB2312" w:eastAsia="仿宋_GB2312" w:cs="仿宋_GB2312"/>
          <w:bCs/>
          <w:sz w:val="32"/>
          <w:szCs w:val="32"/>
          <w:shd w:val="clear" w:color="auto" w:fill="FFFFFF"/>
        </w:rPr>
        <w:t>根据（阿编发〔2019〕28号）文件，核事业编制16名。目前，实有在编在岗12人。其中管理岗位3人，为中心领导班子，一正两副，主任为管理岗7级，副主任为管理岗8级；专业技术岗位9人，工勤技能岗位1人。内设机构：2室、1中心、1院，即：办公室、财务室、农村数字电影中心、马尔康太平洋电影城。</w:t>
      </w:r>
    </w:p>
    <w:p w14:paraId="7357FB0F">
      <w:pPr>
        <w:widowControl/>
        <w:spacing w:line="560" w:lineRule="exact"/>
        <w:ind w:firstLine="640" w:firstLineChars="200"/>
        <w:contextualSpacing/>
        <w:rPr>
          <w:rFonts w:hint="eastAsia" w:ascii="仿宋" w:hAnsi="仿宋" w:eastAsia="仿宋"/>
          <w:bCs/>
          <w:sz w:val="32"/>
          <w:szCs w:val="32"/>
          <w:shd w:val="clear" w:color="auto" w:fill="FFFFFF"/>
        </w:rPr>
      </w:pPr>
      <w:r>
        <w:rPr>
          <w:rFonts w:hint="eastAsia" w:ascii="黑体" w:hAnsi="黑体" w:eastAsia="黑体" w:cs="黑体"/>
          <w:bCs/>
          <w:sz w:val="32"/>
          <w:szCs w:val="32"/>
          <w:shd w:val="clear" w:color="auto" w:fill="FFFFFF"/>
        </w:rPr>
        <w:t>二、部门资金收支情况</w:t>
      </w:r>
    </w:p>
    <w:p w14:paraId="11476D62">
      <w:pPr>
        <w:widowControl/>
        <w:spacing w:line="560" w:lineRule="exact"/>
        <w:ind w:firstLine="482" w:firstLineChars="150"/>
        <w:contextualSpacing/>
        <w:jc w:val="left"/>
        <w:rPr>
          <w:rFonts w:hint="eastAsia" w:ascii="仿宋_GB2312" w:hAnsi="仿宋_GB2312" w:eastAsia="仿宋_GB2312" w:cs="仿宋_GB2312"/>
          <w:bCs/>
          <w:sz w:val="32"/>
          <w:szCs w:val="32"/>
          <w:shd w:val="clear" w:color="auto" w:fill="FFFFFF"/>
        </w:rPr>
      </w:pPr>
      <w:r>
        <w:rPr>
          <w:rFonts w:hint="eastAsia" w:ascii="楷体_GB2312" w:hAnsi="楷体_GB2312" w:eastAsia="楷体_GB2312" w:cs="楷体_GB2312"/>
          <w:b/>
          <w:sz w:val="32"/>
          <w:szCs w:val="32"/>
          <w:shd w:val="clear" w:color="auto" w:fill="FFFFFF"/>
        </w:rPr>
        <w:t>（一）收入情况</w:t>
      </w:r>
    </w:p>
    <w:p w14:paraId="7C3BF0AF">
      <w:pPr>
        <w:widowControl/>
        <w:spacing w:line="560" w:lineRule="exact"/>
        <w:ind w:firstLine="640" w:firstLineChars="200"/>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阿坝州电影服务中心2024年年初预算收入546.99万元，决算报表收入531.97万元。</w:t>
      </w:r>
    </w:p>
    <w:p w14:paraId="228D7099">
      <w:pPr>
        <w:widowControl/>
        <w:spacing w:line="560" w:lineRule="exact"/>
        <w:ind w:firstLine="482" w:firstLineChars="150"/>
        <w:contextualSpacing/>
        <w:jc w:val="left"/>
        <w:rPr>
          <w:rFonts w:hint="eastAsia" w:ascii="仿宋_GB2312" w:hAnsi="仿宋_GB2312" w:eastAsia="仿宋_GB2312" w:cs="仿宋_GB2312"/>
          <w:bCs/>
          <w:sz w:val="32"/>
          <w:szCs w:val="32"/>
          <w:shd w:val="clear" w:color="auto" w:fill="FFFFFF"/>
        </w:rPr>
      </w:pPr>
      <w:r>
        <w:rPr>
          <w:rFonts w:hint="eastAsia" w:ascii="楷体_GB2312" w:hAnsi="楷体_GB2312" w:eastAsia="楷体_GB2312" w:cs="楷体_GB2312"/>
          <w:b/>
          <w:sz w:val="32"/>
          <w:szCs w:val="32"/>
          <w:shd w:val="clear" w:color="auto" w:fill="FFFFFF"/>
        </w:rPr>
        <w:t>（二）支出情况</w:t>
      </w:r>
    </w:p>
    <w:p w14:paraId="27255D59">
      <w:pPr>
        <w:widowControl/>
        <w:spacing w:line="560" w:lineRule="exact"/>
        <w:ind w:firstLine="640" w:firstLineChars="200"/>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2024年年初预算支出情况州电影服务中心2024年支出预算531.97万元，决算报表支出情况：本年度总支出为531.97万元，其中：基本支出为405.67万元，项目支出为126.30万元。</w:t>
      </w:r>
    </w:p>
    <w:p w14:paraId="5F7AE8E9">
      <w:pPr>
        <w:widowControl/>
        <w:spacing w:line="560" w:lineRule="exact"/>
        <w:ind w:firstLine="482" w:firstLineChars="150"/>
        <w:contextualSpacing/>
        <w:jc w:val="left"/>
        <w:rPr>
          <w:rFonts w:hint="eastAsia" w:ascii="仿宋_GB2312" w:hAnsi="仿宋_GB2312" w:eastAsia="仿宋_GB2312" w:cs="仿宋_GB2312"/>
          <w:bCs/>
          <w:sz w:val="32"/>
          <w:szCs w:val="32"/>
          <w:shd w:val="clear" w:color="auto" w:fill="FFFFFF"/>
        </w:rPr>
      </w:pPr>
      <w:r>
        <w:rPr>
          <w:rFonts w:hint="eastAsia" w:ascii="楷体_GB2312" w:hAnsi="楷体_GB2312" w:eastAsia="楷体_GB2312" w:cs="楷体_GB2312"/>
          <w:b/>
          <w:sz w:val="32"/>
          <w:szCs w:val="32"/>
          <w:shd w:val="clear" w:color="auto" w:fill="FFFFFF"/>
        </w:rPr>
        <w:t>（三）结余分配和结转结余情况</w:t>
      </w:r>
    </w:p>
    <w:p w14:paraId="09461AB9">
      <w:pPr>
        <w:widowControl/>
        <w:spacing w:line="560" w:lineRule="exact"/>
        <w:ind w:firstLine="640" w:firstLineChars="200"/>
        <w:contextualSpacing/>
        <w:jc w:val="left"/>
        <w:rPr>
          <w:rFonts w:hint="eastAsia" w:ascii="仿宋" w:hAnsi="仿宋" w:eastAsia="仿宋"/>
          <w:bCs/>
          <w:sz w:val="32"/>
          <w:szCs w:val="32"/>
          <w:shd w:val="clear" w:color="auto" w:fill="FFFFFF"/>
        </w:rPr>
      </w:pPr>
      <w:r>
        <w:rPr>
          <w:rFonts w:hint="eastAsia" w:ascii="仿宋_GB2312" w:hAnsi="仿宋_GB2312" w:eastAsia="仿宋_GB2312" w:cs="仿宋_GB2312"/>
          <w:bCs/>
          <w:sz w:val="32"/>
          <w:szCs w:val="32"/>
          <w:shd w:val="clear" w:color="auto" w:fill="FFFFFF"/>
        </w:rPr>
        <w:t>阿坝州电影服务中心2024年决算报表无结转结余情况。</w:t>
      </w:r>
    </w:p>
    <w:p w14:paraId="617BEA25">
      <w:pPr>
        <w:widowControl/>
        <w:spacing w:line="560" w:lineRule="exact"/>
        <w:ind w:firstLine="640" w:firstLineChars="200"/>
        <w:contextualSpacing/>
        <w:rPr>
          <w:rFonts w:hint="eastAsia" w:ascii="仿宋" w:hAnsi="仿宋" w:eastAsia="仿宋"/>
          <w:bCs/>
          <w:sz w:val="32"/>
          <w:szCs w:val="32"/>
          <w:shd w:val="clear" w:color="auto" w:fill="FFFFFF"/>
        </w:rPr>
      </w:pPr>
      <w:r>
        <w:rPr>
          <w:rFonts w:hint="eastAsia" w:ascii="黑体" w:hAnsi="黑体" w:eastAsia="黑体" w:cs="黑体"/>
          <w:bCs/>
          <w:sz w:val="32"/>
          <w:szCs w:val="32"/>
          <w:shd w:val="clear" w:color="auto" w:fill="FFFFFF"/>
        </w:rPr>
        <w:t>三、部门预算绩效分析</w:t>
      </w:r>
    </w:p>
    <w:p w14:paraId="69D27D75">
      <w:pPr>
        <w:widowControl/>
        <w:spacing w:line="560" w:lineRule="exact"/>
        <w:ind w:firstLine="482" w:firstLineChars="150"/>
        <w:contextualSpacing/>
        <w:jc w:val="left"/>
        <w:rPr>
          <w:rFonts w:hint="eastAsia" w:ascii="仿宋_GB2312" w:hAnsi="仿宋_GB2312" w:eastAsia="仿宋_GB2312" w:cs="仿宋_GB2312"/>
          <w:bCs/>
          <w:sz w:val="32"/>
          <w:szCs w:val="32"/>
          <w:shd w:val="clear" w:color="auto" w:fill="FFFFFF"/>
        </w:rPr>
      </w:pPr>
      <w:r>
        <w:rPr>
          <w:rFonts w:hint="eastAsia" w:ascii="楷体_GB2312" w:hAnsi="楷体_GB2312" w:eastAsia="楷体_GB2312" w:cs="楷体_GB2312"/>
          <w:b/>
          <w:sz w:val="32"/>
          <w:szCs w:val="32"/>
          <w:shd w:val="clear" w:color="auto" w:fill="FFFFFF"/>
        </w:rPr>
        <w:t>（一）部门预算总体绩效分析</w:t>
      </w:r>
    </w:p>
    <w:p w14:paraId="4B23E08C">
      <w:pPr>
        <w:widowControl/>
        <w:spacing w:line="560" w:lineRule="exact"/>
        <w:ind w:firstLine="640" w:firstLineChars="200"/>
        <w:contextualSpacing/>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根据部门预算绩效评价指标体系“总体绩效”涉及二、三级指标进行逐项绩效分析并评分，依次包括履职效能、预算管理、财务管理、资产管理、采购管理等情况。</w:t>
      </w:r>
    </w:p>
    <w:p w14:paraId="3A6A3C0B">
      <w:pPr>
        <w:spacing w:line="560" w:lineRule="exact"/>
        <w:ind w:firstLine="643" w:firstLineChars="200"/>
        <w:contextualSpacing/>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1.履职效能</w:t>
      </w:r>
    </w:p>
    <w:p w14:paraId="2F27E60B">
      <w:pPr>
        <w:spacing w:line="560" w:lineRule="exact"/>
        <w:ind w:firstLine="640" w:firstLineChars="200"/>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影城运行47.66万， 2024 年票房收入97.12元，卖品收入达到14.21元。全年共放映1994场次，在保证影片质量和观众需求的前提下，合理安排场次，提高了影城的运营效率。吸引了23585人次观影，通过开展各类优惠活动和主题观影活动，有效增加了观众的观影热情。积极组织观看主旋律电影活动，共计86场，组织了4831人观影，取得了良好的社会效益和社会反响。</w:t>
      </w:r>
    </w:p>
    <w:p w14:paraId="23A19DB4">
      <w:pPr>
        <w:spacing w:line="560" w:lineRule="exact"/>
        <w:ind w:firstLine="640" w:firstLineChars="200"/>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农村公益性电影放映运行费1.86万元，农村公益性电影放映运行费7.72万元，全年共放映电影17316场（次）；人数达320077余人；下载节目423部次，订购18995场次。满足对老百姓服务需求，更好的满足观影需要，老百姓的满意度100%。</w:t>
      </w:r>
    </w:p>
    <w:p w14:paraId="0A2BCEF9">
      <w:pPr>
        <w:widowControl/>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文化产业发展专项支出69.73万元，9月更换了2厅放映机，升级了1、3厅放映机；更换了1、3厅地毯；2、3厅银幕；3厅座椅套；以及四楼大堂休息区升级、卫生间升级；增加自动售票机3台等。为观众提供舒适的观影环境。预计观影人数能提高2-3成。履职效能得分13分。</w:t>
      </w:r>
    </w:p>
    <w:p w14:paraId="4DAFCBFF">
      <w:pPr>
        <w:widowControl/>
        <w:spacing w:line="560" w:lineRule="exact"/>
        <w:ind w:firstLine="643" w:firstLineChars="200"/>
        <w:contextualSpacing/>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2.预算管理</w:t>
      </w:r>
    </w:p>
    <w:p w14:paraId="6C31CF8C">
      <w:pPr>
        <w:widowControl/>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预算编制遵循“量入为出，收支平衡”的原则，所有收支纳入预算管理。收入预算应坚持积极稳妥原则，根据上年度实际收入水平，结合当年的计划目标情况进行编制。支出预算应根据上年度实际支出水平以及本年度工作计划、收入预算等进行编制，既要保证电影业务活动的需要，又要合理节约的精神，处理好需要与可能两者间关系。预算编制人员按年度所有因素和事项的轻重缓急测算每一科目、款项支出的需求。预算执行按规定程序审核后由财务室严格遵照执行。凡已列入预算的，财务室应保证正常用款需要;凡未列入预算或超出预算的开支，未经规定程序追加或调整的任何人无权决定付款。预算管理得分为23分</w:t>
      </w:r>
    </w:p>
    <w:p w14:paraId="4DF42CDD">
      <w:pPr>
        <w:widowControl/>
        <w:spacing w:line="560" w:lineRule="exact"/>
        <w:ind w:firstLine="643" w:firstLineChars="200"/>
        <w:contextualSpacing/>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3.财务管理</w:t>
      </w:r>
    </w:p>
    <w:p w14:paraId="2B69EFA1">
      <w:pPr>
        <w:widowControl/>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在财务管理过程中，本中心严格按照《会计法》规定，依法设置会计账薄，根据本中心实际发生的业务事项进行会计核算，填制会计凭证，登记会计账簿，编制财务会计报告。严格执行国家有关会计法规，所发生的各项业务事项均在依法设置的会计账簿上统一登记核算，依据国家统一的会计制度的规定进行会计核算确保数据真实、有效。单位根据年度预算编制用款计划。四川省政府财政管理信息系统数字证书(U-KBY)由两人分别管理。严格遵守《中华人民共和国会计法》以及相关法律、法规规定，设置有独立会计机构财务室，配备专职会计及出纳人员开展会计核算工作。在用财务负责人1人，会计1人，出纳1人。都具有会计专业技术资格，各会计人员按照不相容职务相分离原则进行了分工。财务管理得分为10分</w:t>
      </w:r>
    </w:p>
    <w:p w14:paraId="1A1AC90F">
      <w:pPr>
        <w:widowControl/>
        <w:spacing w:line="560" w:lineRule="exact"/>
        <w:ind w:firstLine="643" w:firstLineChars="200"/>
        <w:contextualSpacing/>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4.资产管理</w:t>
      </w:r>
    </w:p>
    <w:p w14:paraId="10A00890">
      <w:pPr>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中心制定了详细的资产管理制度，对资产申购、采购、分配、保管、处置等细则进行规定，严格执行有关规定。凡是符合政府采购要求均按政府采购程序进行采购，擅自采购的不予报销费用。同时，加强资产管理，组织各科室定期对所属的固定资产进行清理，明确相应的责任人。办公室明确专人管理固定资产。资产管理得分为8分</w:t>
      </w:r>
    </w:p>
    <w:p w14:paraId="6675340F">
      <w:pPr>
        <w:spacing w:line="560" w:lineRule="exact"/>
        <w:ind w:firstLine="643" w:firstLineChars="200"/>
        <w:contextualSpacing/>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5.采购管理</w:t>
      </w:r>
    </w:p>
    <w:p w14:paraId="395B02AF">
      <w:pPr>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规范政府采购行为，提高资金使用效益，我中心严格遵守《中华人民共和国招标投标法》与《政府采购法》等政府采购有关法律法规，先后制定了中心政府采购管理制度。严格依法采购。2024年阿坝州电影服务中心文化产业专项69.73万元是政府采购。政府购管理得分为6分</w:t>
      </w:r>
    </w:p>
    <w:p w14:paraId="7382C83E">
      <w:pPr>
        <w:spacing w:line="560" w:lineRule="exact"/>
        <w:ind w:firstLine="482" w:firstLineChars="150"/>
        <w:contextualSpacing/>
        <w:jc w:val="left"/>
        <w:rPr>
          <w:rFonts w:hint="eastAsia" w:ascii="仿宋_GB2312" w:hAnsi="仿宋_GB2312" w:eastAsia="仿宋_GB2312" w:cs="仿宋_GB2312"/>
          <w:bCs/>
          <w:sz w:val="32"/>
          <w:szCs w:val="32"/>
          <w:shd w:val="clear" w:color="auto" w:fill="FFFFFF"/>
        </w:rPr>
      </w:pPr>
      <w:r>
        <w:rPr>
          <w:rFonts w:hint="eastAsia" w:ascii="楷体_GB2312" w:hAnsi="楷体_GB2312" w:eastAsia="楷体_GB2312" w:cs="楷体_GB2312"/>
          <w:b/>
          <w:sz w:val="32"/>
          <w:szCs w:val="32"/>
          <w:shd w:val="clear" w:color="auto" w:fill="FFFFFF"/>
        </w:rPr>
        <w:t>（二）部门预算项目绩效分析</w:t>
      </w:r>
    </w:p>
    <w:p w14:paraId="7B48D61A">
      <w:pPr>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填报以下数据，并根据部门预算绩效评价指标体系“项目绩效”涉及二、三级指标进行逐项绩效分析并评分，依次包括项目决策、项目执行、目标实现等情况。</w:t>
      </w:r>
    </w:p>
    <w:p w14:paraId="344A8CB8">
      <w:pPr>
        <w:spacing w:line="560" w:lineRule="exact"/>
        <w:ind w:firstLine="640" w:firstLineChars="200"/>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常年项目绩效分析。该类项目总数 3 个，涉及预算总金额   99万元，1—12月预算执行总体进度为  57.15 %，其中：预算结余率大于10%的项目共计 3 个。</w:t>
      </w:r>
    </w:p>
    <w:p w14:paraId="2B0550A0">
      <w:pPr>
        <w:spacing w:line="560" w:lineRule="exact"/>
        <w:ind w:firstLine="640" w:firstLineChars="200"/>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阶段（含一次性）项目绩效分析。该类项目总数 1  个，涉及预算总金额70万元，1—12月预算执行总体进度为100%，其中：预算结余率大于10%的项目共计 0 个。</w:t>
      </w:r>
    </w:p>
    <w:p w14:paraId="05F2E58B">
      <w:pPr>
        <w:spacing w:line="560" w:lineRule="exact"/>
        <w:ind w:firstLine="643" w:firstLineChars="200"/>
        <w:contextualSpacing/>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1.</w:t>
      </w:r>
      <w:r>
        <w:rPr>
          <w:rFonts w:hint="eastAsia" w:ascii="仿宋_GB2312" w:hAnsi="仿宋_GB2312" w:eastAsia="仿宋_GB2312" w:cs="仿宋_GB2312"/>
          <w:b/>
          <w:sz w:val="32"/>
          <w:szCs w:val="32"/>
          <w:shd w:val="clear" w:color="auto" w:fill="FFFFFF"/>
        </w:rPr>
        <w:tab/>
      </w:r>
      <w:r>
        <w:rPr>
          <w:rFonts w:hint="eastAsia" w:ascii="仿宋_GB2312" w:hAnsi="仿宋_GB2312" w:eastAsia="仿宋_GB2312" w:cs="仿宋_GB2312"/>
          <w:b/>
          <w:sz w:val="32"/>
          <w:szCs w:val="32"/>
          <w:shd w:val="clear" w:color="auto" w:fill="FFFFFF"/>
        </w:rPr>
        <w:t>项目决策</w:t>
      </w:r>
    </w:p>
    <w:p w14:paraId="525CA9B0">
      <w:pPr>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我单位2024年常年预算项目共有3个，分别为农村公益电影运行费17万元，根据工作需要，申请了农村公益电影放映运行费，用于全州农村公益电影放映工程的放映督查、技术指导、业务培训、发展规划、等工作，推动我州农村公益电影放映工作可持续发展。农村数字电影监管平台运行维护费4万元，农村数字电影监管平台运行维护费用于平台维护更新，是保障平台健康运行、持续改进服务质量的日常经费。影城运行费78万元，用于影城建设和日常运行。2024年一次性预算项目共有1个。文化产业发展专项支出70万元，基础设施维护、升级提高放映质量，观影者满意。预算总金额169万元。项目决策11分。</w:t>
      </w:r>
    </w:p>
    <w:p w14:paraId="47E69483">
      <w:pPr>
        <w:spacing w:line="560" w:lineRule="exact"/>
        <w:ind w:firstLine="643" w:firstLineChars="200"/>
        <w:contextualSpacing/>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sz w:val="32"/>
          <w:szCs w:val="32"/>
          <w:shd w:val="clear" w:color="auto" w:fill="FFFFFF"/>
        </w:rPr>
        <w:t>2.</w:t>
      </w:r>
      <w:r>
        <w:rPr>
          <w:rFonts w:hint="eastAsia" w:ascii="仿宋_GB2312" w:hAnsi="仿宋_GB2312" w:eastAsia="仿宋_GB2312" w:cs="仿宋_GB2312"/>
          <w:b/>
          <w:sz w:val="32"/>
          <w:szCs w:val="32"/>
          <w:shd w:val="clear" w:color="auto" w:fill="FFFFFF"/>
        </w:rPr>
        <w:tab/>
      </w:r>
      <w:r>
        <w:rPr>
          <w:rFonts w:hint="eastAsia" w:ascii="仿宋_GB2312" w:hAnsi="仿宋_GB2312" w:eastAsia="仿宋_GB2312" w:cs="仿宋_GB2312"/>
          <w:b/>
          <w:sz w:val="32"/>
          <w:szCs w:val="32"/>
          <w:shd w:val="clear" w:color="auto" w:fill="FFFFFF"/>
        </w:rPr>
        <w:t>项目执行</w:t>
      </w:r>
    </w:p>
    <w:p w14:paraId="73DC3BAE">
      <w:pPr>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2024年项目支出主要涉及到部门预算项目，其中：影城运行47.66万元，农村公益电影放映监管平台运行维护费1.19万元，农村公益性电影放映运行费7.72万元。文化产业发展专项支出69.73万元。得分为11分</w:t>
      </w:r>
    </w:p>
    <w:p w14:paraId="62EA7719">
      <w:pPr>
        <w:spacing w:line="560" w:lineRule="exact"/>
        <w:ind w:firstLine="643" w:firstLineChars="200"/>
        <w:contextualSpacing/>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sz w:val="32"/>
          <w:szCs w:val="32"/>
          <w:shd w:val="clear" w:color="auto" w:fill="FFFFFF"/>
        </w:rPr>
        <w:t>3.</w:t>
      </w:r>
      <w:r>
        <w:rPr>
          <w:rFonts w:hint="eastAsia" w:ascii="仿宋_GB2312" w:hAnsi="仿宋_GB2312" w:eastAsia="仿宋_GB2312" w:cs="仿宋_GB2312"/>
          <w:b/>
          <w:sz w:val="32"/>
          <w:szCs w:val="32"/>
          <w:shd w:val="clear" w:color="auto" w:fill="FFFFFF"/>
        </w:rPr>
        <w:tab/>
      </w:r>
      <w:r>
        <w:rPr>
          <w:rFonts w:hint="eastAsia" w:ascii="仿宋_GB2312" w:hAnsi="仿宋_GB2312" w:eastAsia="仿宋_GB2312" w:cs="仿宋_GB2312"/>
          <w:b/>
          <w:sz w:val="32"/>
          <w:szCs w:val="32"/>
          <w:shd w:val="clear" w:color="auto" w:fill="FFFFFF"/>
        </w:rPr>
        <w:t>目标实现</w:t>
      </w:r>
    </w:p>
    <w:p w14:paraId="57E7E1B5">
      <w:pPr>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影城运行47.66万， 2024 年票房收入97.12元，卖品收入达到14.21元。全年共放映1994场次，在保证影片质量和观众需求的前提下，合理安排场次，提高了影城的运营效率。吸引了23585人次观影，通过开展各类优惠活动和主题观影活动，有效增加了观众的观影热情。积极组织观看主旋律电影活动，共计86场，组织了4831人观影，取得了良好的社会效益和社会反响。</w:t>
      </w:r>
    </w:p>
    <w:p w14:paraId="75CABE9B">
      <w:pPr>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农村公益性电影放映运行费1.86万元，农村公益性电影放映运行费7.72万元，全年共放映电影17316场（次）；人数达320077余人；下载节目423部次，订购18995场次。满足对老百姓服务需求，更好的满足观影需要，老百姓的满意度100%。</w:t>
      </w:r>
    </w:p>
    <w:p w14:paraId="7DFF490D">
      <w:pPr>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文化产业发展专项支出69.73万元，9月更换了2厅放映机，升级了1、3厅放映机；更换了1、3厅地毯；2、3厅银幕；3厅座椅套；以及四楼大堂休息区升级、卫生间升级；增加自动售票机3台等。为观众提供舒适的观影环境。预计观影人数能提高2-3成。目标实现得分8分。</w:t>
      </w:r>
    </w:p>
    <w:p w14:paraId="45A26498">
      <w:pPr>
        <w:spacing w:line="560" w:lineRule="exact"/>
        <w:ind w:firstLine="482" w:firstLineChars="150"/>
        <w:contextualSpacing/>
        <w:jc w:val="left"/>
        <w:rPr>
          <w:rFonts w:hint="eastAsia" w:ascii="仿宋_GB2312" w:hAnsi="仿宋_GB2312" w:eastAsia="仿宋_GB2312" w:cs="仿宋_GB2312"/>
          <w:bCs/>
          <w:sz w:val="32"/>
          <w:szCs w:val="32"/>
          <w:shd w:val="clear" w:color="auto" w:fill="FFFFFF"/>
        </w:rPr>
      </w:pPr>
      <w:r>
        <w:rPr>
          <w:rFonts w:hint="eastAsia" w:ascii="楷体_GB2312" w:hAnsi="楷体_GB2312" w:eastAsia="楷体_GB2312" w:cs="楷体_GB2312"/>
          <w:b/>
          <w:sz w:val="32"/>
          <w:szCs w:val="32"/>
          <w:shd w:val="clear" w:color="auto" w:fill="FFFFFF"/>
        </w:rPr>
        <w:t>（三）绩效结果应用情况</w:t>
      </w:r>
    </w:p>
    <w:p w14:paraId="01F9F237">
      <w:pPr>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根据财政相关文件要求，本单位部门预算、决算、部门整体支出评价报告及绩效自评情况均按要求进行了公开公示，自觉接受社会监督。2024年专项预算严格按照财政预算口径编报，加强项目目标绩效考核，全面完成预算执行，切实做到专款专用，无挪用、占用、套取专项资金等违规现象</w:t>
      </w:r>
    </w:p>
    <w:p w14:paraId="6CCDD708">
      <w:pPr>
        <w:spacing w:line="560" w:lineRule="exact"/>
        <w:ind w:firstLine="640" w:firstLineChars="200"/>
        <w:contextualSpacing/>
        <w:rPr>
          <w:rFonts w:hint="eastAsia" w:ascii="黑体" w:hAnsi="黑体" w:eastAsia="黑体" w:cs="黑体"/>
          <w:bCs/>
          <w:sz w:val="32"/>
          <w:szCs w:val="32"/>
          <w:shd w:val="clear" w:color="auto" w:fill="FFFFFF"/>
        </w:rPr>
      </w:pPr>
      <w:r>
        <w:rPr>
          <w:rFonts w:hint="eastAsia" w:ascii="黑体" w:hAnsi="黑体" w:eastAsia="黑体" w:cs="黑体"/>
          <w:bCs/>
          <w:sz w:val="32"/>
          <w:szCs w:val="32"/>
          <w:shd w:val="clear" w:color="auto" w:fill="FFFFFF"/>
        </w:rPr>
        <w:t>四、评价结论及建议</w:t>
      </w:r>
    </w:p>
    <w:p w14:paraId="2FBF50CF">
      <w:pPr>
        <w:spacing w:line="560" w:lineRule="exact"/>
        <w:ind w:firstLine="482" w:firstLineChars="150"/>
        <w:contextualSpacing/>
        <w:rPr>
          <w:rFonts w:hint="eastAsia" w:ascii="仿宋_GB2312" w:hAnsi="仿宋_GB2312" w:eastAsia="仿宋_GB2312" w:cs="仿宋_GB2312"/>
          <w:bCs/>
          <w:sz w:val="32"/>
          <w:szCs w:val="32"/>
          <w:shd w:val="clear" w:color="auto" w:fill="FFFFFF"/>
        </w:rPr>
      </w:pPr>
      <w:r>
        <w:rPr>
          <w:rFonts w:hint="eastAsia" w:ascii="楷体_GB2312" w:hAnsi="楷体_GB2312" w:eastAsia="楷体_GB2312" w:cs="楷体_GB2312"/>
          <w:b/>
          <w:sz w:val="32"/>
          <w:szCs w:val="32"/>
          <w:shd w:val="clear" w:color="auto" w:fill="FFFFFF"/>
        </w:rPr>
        <w:t>（一）评价结论</w:t>
      </w:r>
    </w:p>
    <w:p w14:paraId="598BEC31">
      <w:pPr>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根据部门整体支出绩效评价指标规定的内容自评，2024年度部门整体绩效评价得分为91分。全年基本支出保证了我单位正常运行和日常工作的正常开展，项目支出保障了重点工作的开展，达到预期绩效目标。</w:t>
      </w:r>
    </w:p>
    <w:p w14:paraId="67F0E938">
      <w:pPr>
        <w:spacing w:line="560" w:lineRule="exact"/>
        <w:ind w:firstLine="482" w:firstLineChars="150"/>
        <w:contextualSpacing/>
        <w:rPr>
          <w:rFonts w:hint="eastAsia" w:ascii="仿宋_GB2312" w:hAnsi="仿宋_GB2312" w:eastAsia="仿宋_GB2312" w:cs="仿宋_GB2312"/>
          <w:bCs/>
          <w:sz w:val="32"/>
          <w:szCs w:val="32"/>
          <w:shd w:val="clear" w:color="auto" w:fill="FFFFFF"/>
        </w:rPr>
      </w:pPr>
      <w:r>
        <w:rPr>
          <w:rFonts w:hint="eastAsia" w:ascii="楷体_GB2312" w:hAnsi="楷体_GB2312" w:eastAsia="楷体_GB2312" w:cs="楷体_GB2312"/>
          <w:b/>
          <w:sz w:val="32"/>
          <w:szCs w:val="32"/>
          <w:shd w:val="clear" w:color="auto" w:fill="FFFFFF"/>
        </w:rPr>
        <w:t>（二）存在问题</w:t>
      </w:r>
    </w:p>
    <w:p w14:paraId="202FE5E2">
      <w:pPr>
        <w:spacing w:line="560" w:lineRule="exact"/>
        <w:contextualSpacing/>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1、绩效管理的整体性上还有差距，管理体系需进一步健全。</w:t>
      </w:r>
    </w:p>
    <w:p w14:paraId="6892CF17">
      <w:pPr>
        <w:spacing w:line="560" w:lineRule="exact"/>
        <w:contextualSpacing/>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2、绩效目标设定的科学性、时效性有待加强。</w:t>
      </w:r>
    </w:p>
    <w:p w14:paraId="631F83D7">
      <w:pPr>
        <w:spacing w:line="560" w:lineRule="exact"/>
        <w:contextualSpacing/>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3、因工作开展情况，导致个别项目在定程度上存在支出进度慢的情况。</w:t>
      </w:r>
    </w:p>
    <w:p w14:paraId="4B11AAD1">
      <w:pPr>
        <w:spacing w:line="560" w:lineRule="exact"/>
        <w:ind w:firstLine="482" w:firstLineChars="150"/>
        <w:contextualSpacing/>
        <w:rPr>
          <w:rFonts w:hint="eastAsia" w:ascii="仿宋_GB2312" w:hAnsi="仿宋_GB2312" w:eastAsia="仿宋_GB2312" w:cs="仿宋_GB2312"/>
          <w:bCs/>
          <w:sz w:val="32"/>
          <w:szCs w:val="32"/>
          <w:shd w:val="clear" w:color="auto" w:fill="FFFFFF"/>
        </w:rPr>
      </w:pPr>
      <w:r>
        <w:rPr>
          <w:rFonts w:hint="eastAsia" w:ascii="楷体_GB2312" w:hAnsi="楷体_GB2312" w:eastAsia="楷体_GB2312" w:cs="楷体_GB2312"/>
          <w:b/>
          <w:sz w:val="32"/>
          <w:szCs w:val="32"/>
          <w:shd w:val="clear" w:color="auto" w:fill="FFFFFF"/>
        </w:rPr>
        <w:t>（三）改进建议</w:t>
      </w:r>
    </w:p>
    <w:p w14:paraId="7FD2FA59">
      <w:pPr>
        <w:spacing w:line="560" w:lineRule="exact"/>
        <w:contextualSpacing/>
        <w:jc w:val="left"/>
        <w:rPr>
          <w:rFonts w:hint="eastAsia" w:ascii="仿宋" w:hAnsi="仿宋" w:eastAsia="仿宋"/>
          <w:bCs/>
          <w:sz w:val="32"/>
          <w:szCs w:val="32"/>
          <w:shd w:val="clear" w:color="auto" w:fill="FFFFFF"/>
        </w:rPr>
      </w:pPr>
      <w:r>
        <w:rPr>
          <w:rFonts w:hint="eastAsia" w:ascii="仿宋_GB2312" w:hAnsi="仿宋_GB2312" w:eastAsia="仿宋_GB2312" w:cs="仿宋_GB2312"/>
          <w:bCs/>
          <w:sz w:val="32"/>
          <w:szCs w:val="32"/>
          <w:shd w:val="clear" w:color="auto" w:fill="FFFFFF"/>
        </w:rPr>
        <w:t xml:space="preserve">    一是细化预算编制工作，严格按照预算编制的相关制度和要求做好预算的编制工作。二是加强财务管理，严格按照预算规定的资金项目和用途进行资金使用审核。三是严格项目实施进度的跟踪，及时开展项目绩效评价，确保项目绩效目标完成。</w:t>
      </w:r>
    </w:p>
    <w:p w14:paraId="5BDB3426">
      <w:pPr>
        <w:pStyle w:val="2"/>
        <w:spacing w:line="576" w:lineRule="exact"/>
        <w:rPr>
          <w:rFonts w:hint="eastAsia" w:ascii="仿宋" w:hAnsi="仿宋" w:eastAsia="仿宋"/>
          <w:sz w:val="32"/>
          <w:szCs w:val="32"/>
        </w:rPr>
      </w:pPr>
    </w:p>
    <w:p w14:paraId="036C6D8D">
      <w:pPr>
        <w:pStyle w:val="3"/>
        <w:spacing w:line="576" w:lineRule="exact"/>
        <w:ind w:left="420" w:firstLine="640"/>
        <w:rPr>
          <w:rFonts w:hint="eastAsia" w:ascii="仿宋" w:hAnsi="仿宋" w:eastAsia="仿宋"/>
          <w:sz w:val="32"/>
        </w:rPr>
      </w:pPr>
    </w:p>
    <w:p w14:paraId="71B3623B">
      <w:pPr>
        <w:pStyle w:val="3"/>
        <w:ind w:left="420" w:firstLine="640"/>
        <w:rPr>
          <w:rFonts w:hint="eastAsia" w:ascii="仿宋" w:hAnsi="仿宋" w:eastAsia="仿宋"/>
          <w:sz w:val="32"/>
        </w:rPr>
      </w:pPr>
    </w:p>
    <w:p w14:paraId="09CC717D">
      <w:pPr>
        <w:pStyle w:val="3"/>
        <w:ind w:left="420" w:firstLine="640"/>
        <w:rPr>
          <w:rFonts w:hint="eastAsia" w:ascii="仿宋" w:hAnsi="仿宋" w:eastAsia="仿宋"/>
          <w:sz w:val="32"/>
        </w:rPr>
      </w:pPr>
    </w:p>
    <w:p w14:paraId="032A8C39">
      <w:pPr>
        <w:pStyle w:val="3"/>
        <w:ind w:left="420" w:firstLine="640"/>
        <w:rPr>
          <w:rFonts w:hint="eastAsia" w:ascii="仿宋" w:hAnsi="仿宋" w:eastAsia="仿宋"/>
          <w:sz w:val="32"/>
        </w:rPr>
      </w:pPr>
    </w:p>
    <w:p w14:paraId="125228F2">
      <w:pPr>
        <w:pStyle w:val="3"/>
        <w:ind w:left="420" w:firstLine="640"/>
        <w:rPr>
          <w:rFonts w:hint="eastAsia" w:ascii="仿宋" w:hAnsi="仿宋" w:eastAsia="仿宋"/>
          <w:sz w:val="32"/>
        </w:rPr>
      </w:pPr>
    </w:p>
    <w:p w14:paraId="74F99545">
      <w:pPr>
        <w:pStyle w:val="3"/>
        <w:ind w:left="0" w:leftChars="0" w:firstLine="0" w:firstLineChars="0"/>
      </w:pPr>
    </w:p>
    <w:p w14:paraId="729F16A7">
      <w:pPr>
        <w:widowControl/>
        <w:jc w:val="left"/>
      </w:pPr>
      <w:r>
        <w:br w:type="page"/>
      </w:r>
    </w:p>
    <w:p w14:paraId="2ED74C61">
      <w:pPr>
        <w:widowControl/>
        <w:jc w:val="left"/>
      </w:pPr>
      <w:bookmarkStart w:id="41" w:name="_Toc13422"/>
    </w:p>
    <w:p w14:paraId="5B520C0A">
      <w:pPr>
        <w:widowControl/>
        <w:ind w:firstLine="3080" w:firstLineChars="700"/>
        <w:jc w:val="left"/>
        <w:rPr>
          <w:rFonts w:ascii="仿宋_GB2312"/>
          <w:szCs w:val="32"/>
        </w:rPr>
      </w:pPr>
      <w:r>
        <w:rPr>
          <w:rFonts w:hint="eastAsia" w:eastAsia="黑体"/>
          <w:sz w:val="44"/>
          <w:szCs w:val="44"/>
        </w:rPr>
        <w:t>第四部分附件</w:t>
      </w:r>
      <w:bookmarkEnd w:id="41"/>
    </w:p>
    <w:p w14:paraId="75A4C594"/>
    <w:p w14:paraId="4D3CB8D3"/>
    <w:p w14:paraId="2D8B4C72">
      <w:pPr>
        <w:widowControl/>
        <w:spacing w:line="578" w:lineRule="exact"/>
        <w:jc w:val="center"/>
        <w:rPr>
          <w:rFonts w:ascii="仿宋_GB2312" w:eastAsia="仿宋_GB2312"/>
          <w:b/>
          <w:bCs/>
          <w:sz w:val="40"/>
          <w:szCs w:val="40"/>
        </w:rPr>
      </w:pPr>
      <w:r>
        <w:rPr>
          <w:rFonts w:hint="eastAsia" w:ascii="仿宋_GB2312" w:eastAsia="仿宋_GB2312"/>
          <w:b/>
          <w:bCs/>
          <w:sz w:val="40"/>
          <w:szCs w:val="40"/>
        </w:rPr>
        <w:t>部门预算项目支出绩效自评表（2024年度）</w:t>
      </w:r>
    </w:p>
    <w:p w14:paraId="54008A6E">
      <w:pPr>
        <w:widowControl/>
        <w:spacing w:line="578" w:lineRule="exact"/>
        <w:jc w:val="center"/>
        <w:rPr>
          <w:rFonts w:ascii="仿宋_GB2312" w:eastAsia="仿宋_GB2312"/>
          <w:b/>
          <w:bCs/>
          <w:sz w:val="40"/>
          <w:szCs w:val="40"/>
        </w:rPr>
      </w:pPr>
    </w:p>
    <w:p w14:paraId="2C25A6D6">
      <w:pPr>
        <w:pStyle w:val="3"/>
        <w:ind w:left="420"/>
      </w:pPr>
    </w:p>
    <w:p w14:paraId="3B7E3011">
      <w:pPr>
        <w:pStyle w:val="3"/>
        <w:ind w:left="420"/>
      </w:pPr>
    </w:p>
    <w:p w14:paraId="7306CB39">
      <w:pPr>
        <w:pStyle w:val="3"/>
        <w:ind w:left="420"/>
      </w:pPr>
    </w:p>
    <w:p w14:paraId="66AF3BBF">
      <w:pPr>
        <w:pStyle w:val="3"/>
        <w:ind w:left="420"/>
        <w:sectPr>
          <w:footerReference r:id="rId10" w:type="first"/>
          <w:footerReference r:id="rId9" w:type="default"/>
          <w:pgSz w:w="11906" w:h="16838"/>
          <w:pgMar w:top="2098" w:right="1531" w:bottom="1984" w:left="1587" w:header="851" w:footer="1417" w:gutter="0"/>
          <w:pgNumType w:start="1"/>
          <w:cols w:space="0" w:num="1"/>
          <w:titlePg/>
          <w:docGrid w:type="lines" w:linePitch="312" w:charSpace="0"/>
        </w:sectPr>
      </w:pPr>
    </w:p>
    <w:p w14:paraId="6B93F9E8">
      <w:pPr>
        <w:pStyle w:val="3"/>
        <w:ind w:left="420"/>
      </w:pPr>
      <w:r>
        <w:pict>
          <v:shape id="_x0000_s1027" o:spid="_x0000_s1027" o:spt="75" type="#_x0000_t75" style="position:absolute;left:0pt;margin-left:12pt;margin-top:-7pt;height:457pt;width:683.95pt;mso-wrap-distance-bottom:0pt;mso-wrap-distance-left:9pt;mso-wrap-distance-right:9pt;mso-wrap-distance-top:0pt;z-index:251665408;mso-width-relative:page;mso-height-relative:page;" o:ole="t" filled="f" o:preferrelative="t" stroked="f" coordsize="21600,21600">
            <v:path/>
            <v:fill on="f" focussize="0,0"/>
            <v:stroke on="f" joinstyle="miter"/>
            <v:imagedata r:id="rId22" o:title=""/>
            <o:lock v:ext="edit" aspectratio="f"/>
            <w10:wrap type="square"/>
          </v:shape>
          <o:OLEObject Type="Embed" ProgID="Excel.Sheet.12" ShapeID="_x0000_s1027" DrawAspect="Content" ObjectID="_1468075726" r:id="rId21">
            <o:LockedField>false</o:LockedField>
          </o:OLEObject>
        </w:pict>
      </w:r>
    </w:p>
    <w:tbl>
      <w:tblPr>
        <w:tblStyle w:val="15"/>
        <w:tblW w:w="12960" w:type="dxa"/>
        <w:tblInd w:w="0" w:type="dxa"/>
        <w:tblLayout w:type="autofit"/>
        <w:tblCellMar>
          <w:top w:w="0" w:type="dxa"/>
          <w:left w:w="108" w:type="dxa"/>
          <w:bottom w:w="0" w:type="dxa"/>
          <w:right w:w="108" w:type="dxa"/>
        </w:tblCellMar>
      </w:tblPr>
      <w:tblGrid>
        <w:gridCol w:w="640"/>
        <w:gridCol w:w="1879"/>
        <w:gridCol w:w="1619"/>
        <w:gridCol w:w="2079"/>
        <w:gridCol w:w="480"/>
        <w:gridCol w:w="1539"/>
        <w:gridCol w:w="480"/>
        <w:gridCol w:w="1000"/>
        <w:gridCol w:w="486"/>
        <w:gridCol w:w="420"/>
        <w:gridCol w:w="2338"/>
      </w:tblGrid>
      <w:tr w14:paraId="5CEB9378">
        <w:tblPrEx>
          <w:tblCellMar>
            <w:top w:w="0" w:type="dxa"/>
            <w:left w:w="108" w:type="dxa"/>
            <w:bottom w:w="0" w:type="dxa"/>
            <w:right w:w="108" w:type="dxa"/>
          </w:tblCellMar>
        </w:tblPrEx>
        <w:trPr>
          <w:trHeight w:val="905" w:hRule="atLeast"/>
        </w:trPr>
        <w:tc>
          <w:tcPr>
            <w:tcW w:w="12960" w:type="dxa"/>
            <w:gridSpan w:val="11"/>
            <w:tcBorders>
              <w:top w:val="single" w:color="000000" w:sz="4" w:space="0"/>
              <w:left w:val="single" w:color="000000" w:sz="4" w:space="0"/>
              <w:bottom w:val="single" w:color="000000" w:sz="4" w:space="0"/>
              <w:right w:val="single" w:color="000000" w:sz="4" w:space="0"/>
            </w:tcBorders>
            <w:vAlign w:val="center"/>
          </w:tcPr>
          <w:p w14:paraId="0D56FB19">
            <w:pPr>
              <w:widowControl/>
              <w:jc w:val="center"/>
              <w:rPr>
                <w:rFonts w:hint="eastAsia" w:ascii="黑体" w:hAnsi="黑体" w:eastAsia="黑体" w:cs="宋体"/>
                <w:b/>
                <w:bCs/>
                <w:color w:val="000000"/>
                <w:kern w:val="0"/>
                <w:sz w:val="30"/>
                <w:szCs w:val="30"/>
              </w:rPr>
            </w:pPr>
            <w:r>
              <w:rPr>
                <w:rFonts w:hint="eastAsia" w:ascii="黑体" w:hAnsi="黑体" w:eastAsia="黑体" w:cs="宋体"/>
                <w:b/>
                <w:bCs/>
                <w:color w:val="000000"/>
                <w:kern w:val="0"/>
                <w:sz w:val="30"/>
                <w:szCs w:val="30"/>
              </w:rPr>
              <w:t>部门预算项目支出绩效自评表（2024年度）</w:t>
            </w:r>
          </w:p>
        </w:tc>
      </w:tr>
      <w:tr w14:paraId="2DD13546">
        <w:tblPrEx>
          <w:tblCellMar>
            <w:top w:w="0" w:type="dxa"/>
            <w:left w:w="108" w:type="dxa"/>
            <w:bottom w:w="0" w:type="dxa"/>
            <w:right w:w="108" w:type="dxa"/>
          </w:tblCellMar>
        </w:tblPrEx>
        <w:trPr>
          <w:trHeight w:val="285" w:hRule="atLeast"/>
        </w:trPr>
        <w:tc>
          <w:tcPr>
            <w:tcW w:w="2520" w:type="dxa"/>
            <w:gridSpan w:val="2"/>
            <w:tcBorders>
              <w:top w:val="single" w:color="000000" w:sz="4" w:space="0"/>
              <w:left w:val="single" w:color="000000" w:sz="4" w:space="0"/>
              <w:bottom w:val="single" w:color="000000" w:sz="4" w:space="0"/>
              <w:right w:val="single" w:color="000000" w:sz="4" w:space="0"/>
            </w:tcBorders>
            <w:vAlign w:val="center"/>
          </w:tcPr>
          <w:p w14:paraId="548554EF">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项目名称</w:t>
            </w:r>
          </w:p>
        </w:tc>
        <w:tc>
          <w:tcPr>
            <w:tcW w:w="10440" w:type="dxa"/>
            <w:gridSpan w:val="9"/>
            <w:tcBorders>
              <w:top w:val="single" w:color="000000" w:sz="4" w:space="0"/>
              <w:left w:val="nil"/>
              <w:bottom w:val="single" w:color="000000" w:sz="4" w:space="0"/>
              <w:right w:val="single" w:color="000000" w:sz="4" w:space="0"/>
            </w:tcBorders>
            <w:vAlign w:val="center"/>
          </w:tcPr>
          <w:p w14:paraId="1A1835B6">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51320021T000000061565-农村公益性电影放映运行费</w:t>
            </w:r>
          </w:p>
        </w:tc>
      </w:tr>
      <w:tr w14:paraId="460A455E">
        <w:tblPrEx>
          <w:tblCellMar>
            <w:top w:w="0" w:type="dxa"/>
            <w:left w:w="108" w:type="dxa"/>
            <w:bottom w:w="0" w:type="dxa"/>
            <w:right w:w="108" w:type="dxa"/>
          </w:tblCellMar>
        </w:tblPrEx>
        <w:trPr>
          <w:trHeight w:val="515" w:hRule="atLeast"/>
        </w:trPr>
        <w:tc>
          <w:tcPr>
            <w:tcW w:w="2520" w:type="dxa"/>
            <w:gridSpan w:val="2"/>
            <w:tcBorders>
              <w:top w:val="single" w:color="000000" w:sz="4" w:space="0"/>
              <w:left w:val="single" w:color="000000" w:sz="4" w:space="0"/>
              <w:bottom w:val="single" w:color="000000" w:sz="4" w:space="0"/>
              <w:right w:val="single" w:color="000000" w:sz="4" w:space="0"/>
            </w:tcBorders>
            <w:vAlign w:val="center"/>
          </w:tcPr>
          <w:p w14:paraId="4DF59412">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主管部门</w:t>
            </w:r>
          </w:p>
        </w:tc>
        <w:tc>
          <w:tcPr>
            <w:tcW w:w="6200" w:type="dxa"/>
            <w:gridSpan w:val="5"/>
            <w:tcBorders>
              <w:top w:val="single" w:color="000000" w:sz="4" w:space="0"/>
              <w:left w:val="nil"/>
              <w:bottom w:val="single" w:color="000000" w:sz="4" w:space="0"/>
              <w:right w:val="single" w:color="000000" w:sz="4" w:space="0"/>
            </w:tcBorders>
            <w:vAlign w:val="center"/>
          </w:tcPr>
          <w:p w14:paraId="613E67FB">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州委宣传部部门</w:t>
            </w:r>
          </w:p>
        </w:tc>
        <w:tc>
          <w:tcPr>
            <w:tcW w:w="1000" w:type="dxa"/>
            <w:tcBorders>
              <w:top w:val="nil"/>
              <w:left w:val="nil"/>
              <w:bottom w:val="nil"/>
              <w:right w:val="nil"/>
            </w:tcBorders>
            <w:vAlign w:val="center"/>
          </w:tcPr>
          <w:p w14:paraId="3227E22C">
            <w:pPr>
              <w:widowControl/>
              <w:jc w:val="left"/>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实施单位 （盖章）</w:t>
            </w:r>
          </w:p>
        </w:tc>
        <w:tc>
          <w:tcPr>
            <w:tcW w:w="3240" w:type="dxa"/>
            <w:gridSpan w:val="3"/>
            <w:tcBorders>
              <w:top w:val="single" w:color="000000" w:sz="4" w:space="0"/>
              <w:left w:val="single" w:color="000000" w:sz="4" w:space="0"/>
              <w:bottom w:val="single" w:color="000000" w:sz="4" w:space="0"/>
              <w:right w:val="single" w:color="000000" w:sz="4" w:space="0"/>
            </w:tcBorders>
            <w:vAlign w:val="center"/>
          </w:tcPr>
          <w:p w14:paraId="3F1C919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州电影服务中心</w:t>
            </w:r>
          </w:p>
        </w:tc>
      </w:tr>
      <w:tr w14:paraId="5514EBBE">
        <w:tblPrEx>
          <w:tblCellMar>
            <w:top w:w="0" w:type="dxa"/>
            <w:left w:w="108" w:type="dxa"/>
            <w:bottom w:w="0" w:type="dxa"/>
            <w:right w:w="108" w:type="dxa"/>
          </w:tblCellMar>
        </w:tblPrEx>
        <w:trPr>
          <w:trHeight w:val="285" w:hRule="atLeast"/>
        </w:trPr>
        <w:tc>
          <w:tcPr>
            <w:tcW w:w="640" w:type="dxa"/>
            <w:vMerge w:val="restart"/>
            <w:tcBorders>
              <w:top w:val="nil"/>
              <w:left w:val="single" w:color="000000" w:sz="4" w:space="0"/>
              <w:bottom w:val="single" w:color="000000" w:sz="4" w:space="0"/>
              <w:right w:val="single" w:color="000000" w:sz="4" w:space="0"/>
            </w:tcBorders>
            <w:vAlign w:val="center"/>
          </w:tcPr>
          <w:p w14:paraId="1313F620">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项目基本情况</w:t>
            </w:r>
          </w:p>
        </w:tc>
        <w:tc>
          <w:tcPr>
            <w:tcW w:w="1880" w:type="dxa"/>
            <w:vMerge w:val="restart"/>
            <w:tcBorders>
              <w:top w:val="nil"/>
              <w:left w:val="single" w:color="000000" w:sz="4" w:space="0"/>
              <w:bottom w:val="single" w:color="000000" w:sz="4" w:space="0"/>
              <w:right w:val="single" w:color="000000" w:sz="4" w:space="0"/>
            </w:tcBorders>
            <w:vAlign w:val="center"/>
          </w:tcPr>
          <w:p w14:paraId="7FD5EE55">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1.项目年度目标完成情况</w:t>
            </w:r>
          </w:p>
        </w:tc>
        <w:tc>
          <w:tcPr>
            <w:tcW w:w="6200" w:type="dxa"/>
            <w:gridSpan w:val="5"/>
            <w:tcBorders>
              <w:top w:val="single" w:color="000000" w:sz="4" w:space="0"/>
              <w:left w:val="nil"/>
              <w:bottom w:val="single" w:color="000000" w:sz="4" w:space="0"/>
              <w:right w:val="single" w:color="000000" w:sz="4" w:space="0"/>
            </w:tcBorders>
            <w:vAlign w:val="center"/>
          </w:tcPr>
          <w:p w14:paraId="4D25225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项目年度目标</w:t>
            </w:r>
          </w:p>
        </w:tc>
        <w:tc>
          <w:tcPr>
            <w:tcW w:w="4240" w:type="dxa"/>
            <w:gridSpan w:val="4"/>
            <w:tcBorders>
              <w:top w:val="single" w:color="000000" w:sz="4" w:space="0"/>
              <w:left w:val="nil"/>
              <w:bottom w:val="single" w:color="000000" w:sz="4" w:space="0"/>
              <w:right w:val="single" w:color="000000" w:sz="4" w:space="0"/>
            </w:tcBorders>
            <w:vAlign w:val="center"/>
          </w:tcPr>
          <w:p w14:paraId="24A47B24">
            <w:pPr>
              <w:widowControl/>
              <w:jc w:val="center"/>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年度目标完成情况</w:t>
            </w:r>
          </w:p>
        </w:tc>
      </w:tr>
      <w:tr w14:paraId="2D993747">
        <w:tblPrEx>
          <w:tblCellMar>
            <w:top w:w="0" w:type="dxa"/>
            <w:left w:w="108" w:type="dxa"/>
            <w:bottom w:w="0" w:type="dxa"/>
            <w:right w:w="108" w:type="dxa"/>
          </w:tblCellMar>
        </w:tblPrEx>
        <w:trPr>
          <w:trHeight w:val="710" w:hRule="atLeast"/>
        </w:trPr>
        <w:tc>
          <w:tcPr>
            <w:tcW w:w="640" w:type="dxa"/>
            <w:vMerge w:val="continue"/>
            <w:tcBorders>
              <w:top w:val="nil"/>
              <w:left w:val="single" w:color="000000" w:sz="4" w:space="0"/>
              <w:bottom w:val="single" w:color="000000" w:sz="4" w:space="0"/>
              <w:right w:val="single" w:color="000000" w:sz="4" w:space="0"/>
            </w:tcBorders>
            <w:vAlign w:val="center"/>
          </w:tcPr>
          <w:p w14:paraId="1EA4C5CC">
            <w:pPr>
              <w:widowControl/>
              <w:jc w:val="left"/>
              <w:rPr>
                <w:rFonts w:hint="eastAsia" w:ascii="宋体" w:hAnsi="宋体" w:cs="宋体"/>
                <w:color w:val="000000"/>
                <w:kern w:val="0"/>
                <w:sz w:val="18"/>
                <w:szCs w:val="18"/>
              </w:rPr>
            </w:pPr>
          </w:p>
        </w:tc>
        <w:tc>
          <w:tcPr>
            <w:tcW w:w="1880" w:type="dxa"/>
            <w:vMerge w:val="continue"/>
            <w:tcBorders>
              <w:top w:val="nil"/>
              <w:left w:val="single" w:color="000000" w:sz="4" w:space="0"/>
              <w:bottom w:val="single" w:color="000000" w:sz="4" w:space="0"/>
              <w:right w:val="single" w:color="000000" w:sz="4" w:space="0"/>
            </w:tcBorders>
            <w:vAlign w:val="center"/>
          </w:tcPr>
          <w:p w14:paraId="3244DA8F">
            <w:pPr>
              <w:widowControl/>
              <w:jc w:val="left"/>
              <w:rPr>
                <w:rFonts w:hint="eastAsia" w:ascii="宋体" w:hAnsi="宋体" w:cs="宋体"/>
                <w:color w:val="000000"/>
                <w:kern w:val="0"/>
                <w:sz w:val="18"/>
                <w:szCs w:val="18"/>
              </w:rPr>
            </w:pPr>
          </w:p>
        </w:tc>
        <w:tc>
          <w:tcPr>
            <w:tcW w:w="6200" w:type="dxa"/>
            <w:gridSpan w:val="5"/>
            <w:tcBorders>
              <w:top w:val="single" w:color="000000" w:sz="4" w:space="0"/>
              <w:left w:val="nil"/>
              <w:bottom w:val="single" w:color="000000" w:sz="4" w:space="0"/>
              <w:right w:val="single" w:color="000000" w:sz="4" w:space="0"/>
            </w:tcBorders>
            <w:vAlign w:val="center"/>
          </w:tcPr>
          <w:p w14:paraId="16816350">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农村公益电影放映运行用于督促全州13县的放映情况的差旅费,培训费,办公费,邮电费</w:t>
            </w:r>
          </w:p>
        </w:tc>
        <w:tc>
          <w:tcPr>
            <w:tcW w:w="4240" w:type="dxa"/>
            <w:gridSpan w:val="4"/>
            <w:tcBorders>
              <w:top w:val="single" w:color="000000" w:sz="4" w:space="0"/>
              <w:left w:val="nil"/>
              <w:bottom w:val="single" w:color="000000" w:sz="4" w:space="0"/>
              <w:right w:val="single" w:color="000000" w:sz="4" w:space="0"/>
            </w:tcBorders>
            <w:vAlign w:val="center"/>
          </w:tcPr>
          <w:p w14:paraId="7CCBB2D9">
            <w:pPr>
              <w:widowControl/>
              <w:jc w:val="left"/>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12月底完成全州农村公益放映16412场次电影</w:t>
            </w:r>
          </w:p>
        </w:tc>
      </w:tr>
      <w:tr w14:paraId="16592ED7">
        <w:tblPrEx>
          <w:tblCellMar>
            <w:top w:w="0" w:type="dxa"/>
            <w:left w:w="108" w:type="dxa"/>
            <w:bottom w:w="0" w:type="dxa"/>
            <w:right w:w="108" w:type="dxa"/>
          </w:tblCellMar>
        </w:tblPrEx>
        <w:trPr>
          <w:trHeight w:val="695" w:hRule="atLeast"/>
        </w:trPr>
        <w:tc>
          <w:tcPr>
            <w:tcW w:w="640" w:type="dxa"/>
            <w:vMerge w:val="continue"/>
            <w:tcBorders>
              <w:top w:val="nil"/>
              <w:left w:val="single" w:color="000000" w:sz="4" w:space="0"/>
              <w:bottom w:val="single" w:color="000000" w:sz="4" w:space="0"/>
              <w:right w:val="single" w:color="000000" w:sz="4" w:space="0"/>
            </w:tcBorders>
            <w:vAlign w:val="center"/>
          </w:tcPr>
          <w:p w14:paraId="69EA6FCA">
            <w:pPr>
              <w:widowControl/>
              <w:jc w:val="left"/>
              <w:rPr>
                <w:rFonts w:hint="eastAsia" w:ascii="宋体" w:hAnsi="宋体" w:cs="宋体"/>
                <w:color w:val="000000"/>
                <w:kern w:val="0"/>
                <w:sz w:val="18"/>
                <w:szCs w:val="18"/>
              </w:rPr>
            </w:pPr>
          </w:p>
        </w:tc>
        <w:tc>
          <w:tcPr>
            <w:tcW w:w="1880" w:type="dxa"/>
            <w:tcBorders>
              <w:top w:val="nil"/>
              <w:left w:val="nil"/>
              <w:bottom w:val="single" w:color="000000" w:sz="4" w:space="0"/>
              <w:right w:val="single" w:color="000000" w:sz="4" w:space="0"/>
            </w:tcBorders>
            <w:vAlign w:val="center"/>
          </w:tcPr>
          <w:p w14:paraId="61CF7FC8">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2.项目实施内容及过程概述</w:t>
            </w:r>
          </w:p>
        </w:tc>
        <w:tc>
          <w:tcPr>
            <w:tcW w:w="10440" w:type="dxa"/>
            <w:gridSpan w:val="9"/>
            <w:tcBorders>
              <w:top w:val="single" w:color="000000" w:sz="4" w:space="0"/>
              <w:left w:val="nil"/>
              <w:bottom w:val="single" w:color="000000" w:sz="4" w:space="0"/>
              <w:right w:val="single" w:color="000000" w:sz="4" w:space="0"/>
            </w:tcBorders>
            <w:vAlign w:val="center"/>
          </w:tcPr>
          <w:p w14:paraId="70660EF8">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全年共放映电影17316场（次）；人数达320077余人；下载节目423部次，订购18995场次。</w:t>
            </w:r>
          </w:p>
        </w:tc>
      </w:tr>
      <w:tr w14:paraId="014E4431">
        <w:tblPrEx>
          <w:tblCellMar>
            <w:top w:w="0" w:type="dxa"/>
            <w:left w:w="108" w:type="dxa"/>
            <w:bottom w:w="0" w:type="dxa"/>
            <w:right w:w="108" w:type="dxa"/>
          </w:tblCellMar>
        </w:tblPrEx>
        <w:trPr>
          <w:trHeight w:val="360" w:hRule="atLeast"/>
        </w:trPr>
        <w:tc>
          <w:tcPr>
            <w:tcW w:w="640" w:type="dxa"/>
            <w:vMerge w:val="restart"/>
            <w:tcBorders>
              <w:top w:val="nil"/>
              <w:left w:val="single" w:color="000000" w:sz="4" w:space="0"/>
              <w:bottom w:val="single" w:color="000000" w:sz="4" w:space="0"/>
              <w:right w:val="single" w:color="000000" w:sz="4" w:space="0"/>
            </w:tcBorders>
            <w:vAlign w:val="center"/>
          </w:tcPr>
          <w:p w14:paraId="7666B39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预算执行情况（10分）</w:t>
            </w:r>
          </w:p>
        </w:tc>
        <w:tc>
          <w:tcPr>
            <w:tcW w:w="1880" w:type="dxa"/>
            <w:tcBorders>
              <w:top w:val="nil"/>
              <w:left w:val="nil"/>
              <w:bottom w:val="single" w:color="000000" w:sz="4" w:space="0"/>
              <w:right w:val="single" w:color="000000" w:sz="4" w:space="0"/>
            </w:tcBorders>
            <w:vAlign w:val="center"/>
          </w:tcPr>
          <w:p w14:paraId="5D0383C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年度预算数（万元）</w:t>
            </w:r>
          </w:p>
        </w:tc>
        <w:tc>
          <w:tcPr>
            <w:tcW w:w="1620" w:type="dxa"/>
            <w:tcBorders>
              <w:top w:val="nil"/>
              <w:left w:val="nil"/>
              <w:bottom w:val="single" w:color="000000" w:sz="4" w:space="0"/>
              <w:right w:val="single" w:color="000000" w:sz="4" w:space="0"/>
            </w:tcBorders>
            <w:vAlign w:val="center"/>
          </w:tcPr>
          <w:p w14:paraId="6AE2B1C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年初预算</w:t>
            </w:r>
          </w:p>
        </w:tc>
        <w:tc>
          <w:tcPr>
            <w:tcW w:w="2080" w:type="dxa"/>
            <w:tcBorders>
              <w:top w:val="nil"/>
              <w:left w:val="nil"/>
              <w:bottom w:val="single" w:color="000000" w:sz="4" w:space="0"/>
              <w:right w:val="single" w:color="000000" w:sz="4" w:space="0"/>
            </w:tcBorders>
            <w:vAlign w:val="center"/>
          </w:tcPr>
          <w:p w14:paraId="15CABBE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调整后预算数</w:t>
            </w:r>
          </w:p>
        </w:tc>
        <w:tc>
          <w:tcPr>
            <w:tcW w:w="2500" w:type="dxa"/>
            <w:gridSpan w:val="3"/>
            <w:tcBorders>
              <w:top w:val="single" w:color="000000" w:sz="4" w:space="0"/>
              <w:left w:val="nil"/>
              <w:bottom w:val="single" w:color="000000" w:sz="4" w:space="0"/>
              <w:right w:val="single" w:color="000000" w:sz="4" w:space="0"/>
            </w:tcBorders>
            <w:vAlign w:val="center"/>
          </w:tcPr>
          <w:p w14:paraId="1D97E8D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预算执行数</w:t>
            </w:r>
          </w:p>
        </w:tc>
        <w:tc>
          <w:tcPr>
            <w:tcW w:w="1000" w:type="dxa"/>
            <w:tcBorders>
              <w:top w:val="nil"/>
              <w:left w:val="nil"/>
              <w:bottom w:val="single" w:color="000000" w:sz="4" w:space="0"/>
              <w:right w:val="single" w:color="000000" w:sz="4" w:space="0"/>
            </w:tcBorders>
            <w:vAlign w:val="center"/>
          </w:tcPr>
          <w:p w14:paraId="67CC11A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预算执行率</w:t>
            </w:r>
          </w:p>
        </w:tc>
        <w:tc>
          <w:tcPr>
            <w:tcW w:w="480" w:type="dxa"/>
            <w:tcBorders>
              <w:top w:val="nil"/>
              <w:left w:val="nil"/>
              <w:bottom w:val="single" w:color="000000" w:sz="4" w:space="0"/>
              <w:right w:val="single" w:color="000000" w:sz="4" w:space="0"/>
            </w:tcBorders>
            <w:vAlign w:val="center"/>
          </w:tcPr>
          <w:p w14:paraId="1ACD876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权重</w:t>
            </w:r>
          </w:p>
        </w:tc>
        <w:tc>
          <w:tcPr>
            <w:tcW w:w="420" w:type="dxa"/>
            <w:tcBorders>
              <w:top w:val="nil"/>
              <w:left w:val="nil"/>
              <w:bottom w:val="single" w:color="000000" w:sz="4" w:space="0"/>
              <w:right w:val="single" w:color="000000" w:sz="4" w:space="0"/>
            </w:tcBorders>
            <w:vAlign w:val="center"/>
          </w:tcPr>
          <w:p w14:paraId="59CFAD6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得分</w:t>
            </w:r>
          </w:p>
        </w:tc>
        <w:tc>
          <w:tcPr>
            <w:tcW w:w="2340" w:type="dxa"/>
            <w:tcBorders>
              <w:top w:val="nil"/>
              <w:left w:val="nil"/>
              <w:bottom w:val="single" w:color="000000" w:sz="4" w:space="0"/>
              <w:right w:val="single" w:color="000000" w:sz="4" w:space="0"/>
            </w:tcBorders>
            <w:vAlign w:val="center"/>
          </w:tcPr>
          <w:p w14:paraId="0F3BB9A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原因</w:t>
            </w:r>
          </w:p>
        </w:tc>
      </w:tr>
      <w:tr w14:paraId="17BF6DEA">
        <w:tblPrEx>
          <w:tblCellMar>
            <w:top w:w="0" w:type="dxa"/>
            <w:left w:w="108" w:type="dxa"/>
            <w:bottom w:w="0" w:type="dxa"/>
            <w:right w:w="108" w:type="dxa"/>
          </w:tblCellMar>
        </w:tblPrEx>
        <w:trPr>
          <w:trHeight w:val="345" w:hRule="atLeast"/>
        </w:trPr>
        <w:tc>
          <w:tcPr>
            <w:tcW w:w="640" w:type="dxa"/>
            <w:vMerge w:val="continue"/>
            <w:tcBorders>
              <w:top w:val="nil"/>
              <w:left w:val="single" w:color="000000" w:sz="4" w:space="0"/>
              <w:bottom w:val="single" w:color="000000" w:sz="4" w:space="0"/>
              <w:right w:val="single" w:color="000000" w:sz="4" w:space="0"/>
            </w:tcBorders>
            <w:vAlign w:val="center"/>
          </w:tcPr>
          <w:p w14:paraId="329ABD54">
            <w:pPr>
              <w:widowControl/>
              <w:jc w:val="left"/>
              <w:rPr>
                <w:rFonts w:hint="eastAsia" w:ascii="宋体" w:hAnsi="宋体" w:cs="宋体"/>
                <w:color w:val="000000"/>
                <w:kern w:val="0"/>
                <w:sz w:val="18"/>
                <w:szCs w:val="18"/>
              </w:rPr>
            </w:pPr>
          </w:p>
        </w:tc>
        <w:tc>
          <w:tcPr>
            <w:tcW w:w="1880" w:type="dxa"/>
            <w:tcBorders>
              <w:top w:val="nil"/>
              <w:left w:val="nil"/>
              <w:bottom w:val="single" w:color="000000" w:sz="4" w:space="0"/>
              <w:right w:val="single" w:color="000000" w:sz="4" w:space="0"/>
            </w:tcBorders>
            <w:vAlign w:val="center"/>
          </w:tcPr>
          <w:p w14:paraId="755E1BD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总额</w:t>
            </w:r>
          </w:p>
        </w:tc>
        <w:tc>
          <w:tcPr>
            <w:tcW w:w="1620" w:type="dxa"/>
            <w:tcBorders>
              <w:top w:val="nil"/>
              <w:left w:val="nil"/>
              <w:bottom w:val="single" w:color="000000" w:sz="4" w:space="0"/>
              <w:right w:val="single" w:color="000000" w:sz="4" w:space="0"/>
            </w:tcBorders>
            <w:vAlign w:val="center"/>
          </w:tcPr>
          <w:p w14:paraId="365E70F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17.00</w:t>
            </w:r>
          </w:p>
        </w:tc>
        <w:tc>
          <w:tcPr>
            <w:tcW w:w="2080" w:type="dxa"/>
            <w:tcBorders>
              <w:top w:val="nil"/>
              <w:left w:val="nil"/>
              <w:bottom w:val="single" w:color="000000" w:sz="4" w:space="0"/>
              <w:right w:val="single" w:color="000000" w:sz="4" w:space="0"/>
            </w:tcBorders>
            <w:vAlign w:val="center"/>
          </w:tcPr>
          <w:p w14:paraId="602086F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7.72</w:t>
            </w:r>
          </w:p>
        </w:tc>
        <w:tc>
          <w:tcPr>
            <w:tcW w:w="2500" w:type="dxa"/>
            <w:gridSpan w:val="3"/>
            <w:tcBorders>
              <w:top w:val="single" w:color="000000" w:sz="4" w:space="0"/>
              <w:left w:val="nil"/>
              <w:bottom w:val="single" w:color="000000" w:sz="4" w:space="0"/>
              <w:right w:val="single" w:color="000000" w:sz="4" w:space="0"/>
            </w:tcBorders>
            <w:vAlign w:val="center"/>
          </w:tcPr>
          <w:p w14:paraId="5AE6F71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7.72</w:t>
            </w:r>
          </w:p>
        </w:tc>
        <w:tc>
          <w:tcPr>
            <w:tcW w:w="1000" w:type="dxa"/>
            <w:tcBorders>
              <w:top w:val="nil"/>
              <w:left w:val="nil"/>
              <w:bottom w:val="single" w:color="000000" w:sz="4" w:space="0"/>
              <w:right w:val="single" w:color="000000" w:sz="4" w:space="0"/>
            </w:tcBorders>
            <w:vAlign w:val="center"/>
          </w:tcPr>
          <w:p w14:paraId="69A2182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100.00%</w:t>
            </w:r>
          </w:p>
        </w:tc>
        <w:tc>
          <w:tcPr>
            <w:tcW w:w="480" w:type="dxa"/>
            <w:tcBorders>
              <w:top w:val="nil"/>
              <w:left w:val="nil"/>
              <w:bottom w:val="single" w:color="000000" w:sz="4" w:space="0"/>
              <w:right w:val="single" w:color="000000" w:sz="4" w:space="0"/>
            </w:tcBorders>
            <w:vAlign w:val="center"/>
          </w:tcPr>
          <w:p w14:paraId="0A847D9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420" w:type="dxa"/>
            <w:tcBorders>
              <w:top w:val="nil"/>
              <w:left w:val="nil"/>
              <w:bottom w:val="single" w:color="000000" w:sz="4" w:space="0"/>
              <w:right w:val="single" w:color="000000" w:sz="4" w:space="0"/>
            </w:tcBorders>
            <w:vAlign w:val="center"/>
          </w:tcPr>
          <w:p w14:paraId="17D3986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2340" w:type="dxa"/>
            <w:vMerge w:val="restart"/>
            <w:tcBorders>
              <w:top w:val="nil"/>
              <w:left w:val="single" w:color="000000" w:sz="4" w:space="0"/>
              <w:bottom w:val="single" w:color="000000" w:sz="4" w:space="0"/>
              <w:right w:val="single" w:color="000000" w:sz="4" w:space="0"/>
            </w:tcBorders>
            <w:vAlign w:val="center"/>
          </w:tcPr>
          <w:p w14:paraId="2B8B3D67">
            <w:pPr>
              <w:widowControl/>
              <w:jc w:val="left"/>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下基层现场指导农村公益电影和城市影院力度不够</w:t>
            </w:r>
          </w:p>
        </w:tc>
      </w:tr>
      <w:tr w14:paraId="7A77F3C0">
        <w:tblPrEx>
          <w:tblCellMar>
            <w:top w:w="0" w:type="dxa"/>
            <w:left w:w="108" w:type="dxa"/>
            <w:bottom w:w="0" w:type="dxa"/>
            <w:right w:w="108" w:type="dxa"/>
          </w:tblCellMar>
        </w:tblPrEx>
        <w:trPr>
          <w:trHeight w:val="390" w:hRule="atLeast"/>
        </w:trPr>
        <w:tc>
          <w:tcPr>
            <w:tcW w:w="640" w:type="dxa"/>
            <w:vMerge w:val="continue"/>
            <w:tcBorders>
              <w:top w:val="nil"/>
              <w:left w:val="single" w:color="000000" w:sz="4" w:space="0"/>
              <w:bottom w:val="single" w:color="000000" w:sz="4" w:space="0"/>
              <w:right w:val="single" w:color="000000" w:sz="4" w:space="0"/>
            </w:tcBorders>
            <w:vAlign w:val="center"/>
          </w:tcPr>
          <w:p w14:paraId="25E86727">
            <w:pPr>
              <w:widowControl/>
              <w:jc w:val="left"/>
              <w:rPr>
                <w:rFonts w:hint="eastAsia" w:ascii="宋体" w:hAnsi="宋体" w:cs="宋体"/>
                <w:color w:val="000000"/>
                <w:kern w:val="0"/>
                <w:sz w:val="18"/>
                <w:szCs w:val="18"/>
              </w:rPr>
            </w:pPr>
          </w:p>
        </w:tc>
        <w:tc>
          <w:tcPr>
            <w:tcW w:w="1880" w:type="dxa"/>
            <w:tcBorders>
              <w:top w:val="nil"/>
              <w:left w:val="nil"/>
              <w:bottom w:val="single" w:color="000000" w:sz="4" w:space="0"/>
              <w:right w:val="single" w:color="000000" w:sz="4" w:space="0"/>
            </w:tcBorders>
            <w:vAlign w:val="center"/>
          </w:tcPr>
          <w:p w14:paraId="5FC9FF0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其中：财政资金</w:t>
            </w:r>
          </w:p>
        </w:tc>
        <w:tc>
          <w:tcPr>
            <w:tcW w:w="1620" w:type="dxa"/>
            <w:tcBorders>
              <w:top w:val="nil"/>
              <w:left w:val="nil"/>
              <w:bottom w:val="single" w:color="000000" w:sz="4" w:space="0"/>
              <w:right w:val="single" w:color="000000" w:sz="4" w:space="0"/>
            </w:tcBorders>
            <w:vAlign w:val="center"/>
          </w:tcPr>
          <w:p w14:paraId="6349DB2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17.00</w:t>
            </w:r>
          </w:p>
        </w:tc>
        <w:tc>
          <w:tcPr>
            <w:tcW w:w="2080" w:type="dxa"/>
            <w:tcBorders>
              <w:top w:val="nil"/>
              <w:left w:val="nil"/>
              <w:bottom w:val="single" w:color="000000" w:sz="4" w:space="0"/>
              <w:right w:val="single" w:color="000000" w:sz="4" w:space="0"/>
            </w:tcBorders>
            <w:vAlign w:val="center"/>
          </w:tcPr>
          <w:p w14:paraId="2368592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7.72</w:t>
            </w:r>
          </w:p>
        </w:tc>
        <w:tc>
          <w:tcPr>
            <w:tcW w:w="2500" w:type="dxa"/>
            <w:gridSpan w:val="3"/>
            <w:tcBorders>
              <w:top w:val="single" w:color="000000" w:sz="4" w:space="0"/>
              <w:left w:val="nil"/>
              <w:bottom w:val="single" w:color="000000" w:sz="4" w:space="0"/>
              <w:right w:val="single" w:color="000000" w:sz="4" w:space="0"/>
            </w:tcBorders>
            <w:vAlign w:val="center"/>
          </w:tcPr>
          <w:p w14:paraId="75320B8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7.72</w:t>
            </w:r>
          </w:p>
        </w:tc>
        <w:tc>
          <w:tcPr>
            <w:tcW w:w="1000" w:type="dxa"/>
            <w:tcBorders>
              <w:top w:val="nil"/>
              <w:left w:val="nil"/>
              <w:bottom w:val="single" w:color="000000" w:sz="4" w:space="0"/>
              <w:right w:val="single" w:color="000000" w:sz="4" w:space="0"/>
            </w:tcBorders>
            <w:vAlign w:val="center"/>
          </w:tcPr>
          <w:p w14:paraId="1BF147B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100.00%</w:t>
            </w:r>
          </w:p>
        </w:tc>
        <w:tc>
          <w:tcPr>
            <w:tcW w:w="480" w:type="dxa"/>
            <w:tcBorders>
              <w:top w:val="nil"/>
              <w:left w:val="nil"/>
              <w:bottom w:val="single" w:color="000000" w:sz="4" w:space="0"/>
              <w:right w:val="single" w:color="000000" w:sz="4" w:space="0"/>
            </w:tcBorders>
            <w:vAlign w:val="center"/>
          </w:tcPr>
          <w:p w14:paraId="1259BD5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420" w:type="dxa"/>
            <w:tcBorders>
              <w:top w:val="nil"/>
              <w:left w:val="nil"/>
              <w:bottom w:val="single" w:color="000000" w:sz="4" w:space="0"/>
              <w:right w:val="single" w:color="000000" w:sz="4" w:space="0"/>
            </w:tcBorders>
            <w:vAlign w:val="center"/>
          </w:tcPr>
          <w:p w14:paraId="17C21F8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2340" w:type="dxa"/>
            <w:vMerge w:val="continue"/>
            <w:tcBorders>
              <w:top w:val="nil"/>
              <w:left w:val="single" w:color="000000" w:sz="4" w:space="0"/>
              <w:bottom w:val="single" w:color="000000" w:sz="4" w:space="0"/>
              <w:right w:val="single" w:color="000000" w:sz="4" w:space="0"/>
            </w:tcBorders>
            <w:vAlign w:val="center"/>
          </w:tcPr>
          <w:p w14:paraId="0D406539">
            <w:pPr>
              <w:widowControl/>
              <w:jc w:val="left"/>
              <w:rPr>
                <w:rFonts w:hint="eastAsia" w:ascii="黑体" w:hAnsi="黑体" w:eastAsia="黑体" w:cs="宋体"/>
                <w:color w:val="000000"/>
                <w:kern w:val="0"/>
                <w:sz w:val="18"/>
                <w:szCs w:val="18"/>
              </w:rPr>
            </w:pPr>
          </w:p>
        </w:tc>
      </w:tr>
      <w:tr w14:paraId="7C5F1D48">
        <w:tblPrEx>
          <w:tblCellMar>
            <w:top w:w="0" w:type="dxa"/>
            <w:left w:w="108" w:type="dxa"/>
            <w:bottom w:w="0" w:type="dxa"/>
            <w:right w:w="108" w:type="dxa"/>
          </w:tblCellMar>
        </w:tblPrEx>
        <w:trPr>
          <w:trHeight w:val="410" w:hRule="atLeast"/>
        </w:trPr>
        <w:tc>
          <w:tcPr>
            <w:tcW w:w="640" w:type="dxa"/>
            <w:vMerge w:val="continue"/>
            <w:tcBorders>
              <w:top w:val="nil"/>
              <w:left w:val="single" w:color="000000" w:sz="4" w:space="0"/>
              <w:bottom w:val="single" w:color="000000" w:sz="4" w:space="0"/>
              <w:right w:val="single" w:color="000000" w:sz="4" w:space="0"/>
            </w:tcBorders>
            <w:vAlign w:val="center"/>
          </w:tcPr>
          <w:p w14:paraId="66CF07DB">
            <w:pPr>
              <w:widowControl/>
              <w:jc w:val="left"/>
              <w:rPr>
                <w:rFonts w:hint="eastAsia" w:ascii="宋体" w:hAnsi="宋体" w:cs="宋体"/>
                <w:color w:val="000000"/>
                <w:kern w:val="0"/>
                <w:sz w:val="18"/>
                <w:szCs w:val="18"/>
              </w:rPr>
            </w:pPr>
          </w:p>
        </w:tc>
        <w:tc>
          <w:tcPr>
            <w:tcW w:w="1880" w:type="dxa"/>
            <w:tcBorders>
              <w:top w:val="nil"/>
              <w:left w:val="nil"/>
              <w:bottom w:val="single" w:color="000000" w:sz="4" w:space="0"/>
              <w:right w:val="single" w:color="000000" w:sz="4" w:space="0"/>
            </w:tcBorders>
            <w:vAlign w:val="center"/>
          </w:tcPr>
          <w:p w14:paraId="2F6D472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财政专户管理资金</w:t>
            </w:r>
          </w:p>
        </w:tc>
        <w:tc>
          <w:tcPr>
            <w:tcW w:w="1620" w:type="dxa"/>
            <w:tcBorders>
              <w:top w:val="nil"/>
              <w:left w:val="nil"/>
              <w:bottom w:val="single" w:color="000000" w:sz="4" w:space="0"/>
              <w:right w:val="single" w:color="000000" w:sz="4" w:space="0"/>
            </w:tcBorders>
            <w:vAlign w:val="center"/>
          </w:tcPr>
          <w:p w14:paraId="0E509BC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0.00</w:t>
            </w:r>
          </w:p>
        </w:tc>
        <w:tc>
          <w:tcPr>
            <w:tcW w:w="2080" w:type="dxa"/>
            <w:tcBorders>
              <w:top w:val="nil"/>
              <w:left w:val="nil"/>
              <w:bottom w:val="single" w:color="000000" w:sz="4" w:space="0"/>
              <w:right w:val="single" w:color="000000" w:sz="4" w:space="0"/>
            </w:tcBorders>
            <w:vAlign w:val="center"/>
          </w:tcPr>
          <w:p w14:paraId="4574387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0.00</w:t>
            </w:r>
          </w:p>
        </w:tc>
        <w:tc>
          <w:tcPr>
            <w:tcW w:w="2500" w:type="dxa"/>
            <w:gridSpan w:val="3"/>
            <w:tcBorders>
              <w:top w:val="single" w:color="000000" w:sz="4" w:space="0"/>
              <w:left w:val="nil"/>
              <w:bottom w:val="single" w:color="000000" w:sz="4" w:space="0"/>
              <w:right w:val="single" w:color="000000" w:sz="4" w:space="0"/>
            </w:tcBorders>
            <w:vAlign w:val="center"/>
          </w:tcPr>
          <w:p w14:paraId="16A7290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0.00</w:t>
            </w:r>
          </w:p>
        </w:tc>
        <w:tc>
          <w:tcPr>
            <w:tcW w:w="1000" w:type="dxa"/>
            <w:tcBorders>
              <w:top w:val="nil"/>
              <w:left w:val="nil"/>
              <w:bottom w:val="single" w:color="000000" w:sz="4" w:space="0"/>
              <w:right w:val="single" w:color="000000" w:sz="4" w:space="0"/>
            </w:tcBorders>
            <w:vAlign w:val="center"/>
          </w:tcPr>
          <w:p w14:paraId="25DD34A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0.00%</w:t>
            </w:r>
          </w:p>
        </w:tc>
        <w:tc>
          <w:tcPr>
            <w:tcW w:w="480" w:type="dxa"/>
            <w:tcBorders>
              <w:top w:val="nil"/>
              <w:left w:val="nil"/>
              <w:bottom w:val="single" w:color="000000" w:sz="4" w:space="0"/>
              <w:right w:val="single" w:color="000000" w:sz="4" w:space="0"/>
            </w:tcBorders>
            <w:vAlign w:val="center"/>
          </w:tcPr>
          <w:p w14:paraId="3238C47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420" w:type="dxa"/>
            <w:tcBorders>
              <w:top w:val="nil"/>
              <w:left w:val="nil"/>
              <w:bottom w:val="single" w:color="000000" w:sz="4" w:space="0"/>
              <w:right w:val="single" w:color="000000" w:sz="4" w:space="0"/>
            </w:tcBorders>
            <w:vAlign w:val="center"/>
          </w:tcPr>
          <w:p w14:paraId="46D65AC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2340" w:type="dxa"/>
            <w:vMerge w:val="continue"/>
            <w:tcBorders>
              <w:top w:val="nil"/>
              <w:left w:val="single" w:color="000000" w:sz="4" w:space="0"/>
              <w:bottom w:val="single" w:color="000000" w:sz="4" w:space="0"/>
              <w:right w:val="single" w:color="000000" w:sz="4" w:space="0"/>
            </w:tcBorders>
            <w:vAlign w:val="center"/>
          </w:tcPr>
          <w:p w14:paraId="28666C8D">
            <w:pPr>
              <w:widowControl/>
              <w:jc w:val="left"/>
              <w:rPr>
                <w:rFonts w:hint="eastAsia" w:ascii="黑体" w:hAnsi="黑体" w:eastAsia="黑体" w:cs="宋体"/>
                <w:color w:val="000000"/>
                <w:kern w:val="0"/>
                <w:sz w:val="18"/>
                <w:szCs w:val="18"/>
              </w:rPr>
            </w:pPr>
          </w:p>
        </w:tc>
      </w:tr>
      <w:tr w14:paraId="5C58C231">
        <w:tblPrEx>
          <w:tblCellMar>
            <w:top w:w="0" w:type="dxa"/>
            <w:left w:w="108" w:type="dxa"/>
            <w:bottom w:w="0" w:type="dxa"/>
            <w:right w:w="108" w:type="dxa"/>
          </w:tblCellMar>
        </w:tblPrEx>
        <w:trPr>
          <w:trHeight w:val="360" w:hRule="atLeast"/>
        </w:trPr>
        <w:tc>
          <w:tcPr>
            <w:tcW w:w="640" w:type="dxa"/>
            <w:vMerge w:val="continue"/>
            <w:tcBorders>
              <w:top w:val="nil"/>
              <w:left w:val="single" w:color="000000" w:sz="4" w:space="0"/>
              <w:bottom w:val="single" w:color="000000" w:sz="4" w:space="0"/>
              <w:right w:val="single" w:color="000000" w:sz="4" w:space="0"/>
            </w:tcBorders>
            <w:vAlign w:val="center"/>
          </w:tcPr>
          <w:p w14:paraId="67F35EF8">
            <w:pPr>
              <w:widowControl/>
              <w:jc w:val="left"/>
              <w:rPr>
                <w:rFonts w:hint="eastAsia" w:ascii="宋体" w:hAnsi="宋体" w:cs="宋体"/>
                <w:color w:val="000000"/>
                <w:kern w:val="0"/>
                <w:sz w:val="18"/>
                <w:szCs w:val="18"/>
              </w:rPr>
            </w:pPr>
          </w:p>
        </w:tc>
        <w:tc>
          <w:tcPr>
            <w:tcW w:w="1880" w:type="dxa"/>
            <w:tcBorders>
              <w:top w:val="nil"/>
              <w:left w:val="nil"/>
              <w:bottom w:val="single" w:color="000000" w:sz="4" w:space="0"/>
              <w:right w:val="single" w:color="000000" w:sz="4" w:space="0"/>
            </w:tcBorders>
            <w:vAlign w:val="center"/>
          </w:tcPr>
          <w:p w14:paraId="7E8F4E3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单位资金</w:t>
            </w:r>
          </w:p>
        </w:tc>
        <w:tc>
          <w:tcPr>
            <w:tcW w:w="1620" w:type="dxa"/>
            <w:tcBorders>
              <w:top w:val="nil"/>
              <w:left w:val="nil"/>
              <w:bottom w:val="single" w:color="000000" w:sz="4" w:space="0"/>
              <w:right w:val="single" w:color="000000" w:sz="4" w:space="0"/>
            </w:tcBorders>
            <w:vAlign w:val="center"/>
          </w:tcPr>
          <w:p w14:paraId="5AB7C8E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0.00</w:t>
            </w:r>
          </w:p>
        </w:tc>
        <w:tc>
          <w:tcPr>
            <w:tcW w:w="2080" w:type="dxa"/>
            <w:tcBorders>
              <w:top w:val="nil"/>
              <w:left w:val="nil"/>
              <w:bottom w:val="single" w:color="000000" w:sz="4" w:space="0"/>
              <w:right w:val="single" w:color="000000" w:sz="4" w:space="0"/>
            </w:tcBorders>
            <w:vAlign w:val="center"/>
          </w:tcPr>
          <w:p w14:paraId="57A31FC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0.00</w:t>
            </w:r>
          </w:p>
        </w:tc>
        <w:tc>
          <w:tcPr>
            <w:tcW w:w="2500" w:type="dxa"/>
            <w:gridSpan w:val="3"/>
            <w:tcBorders>
              <w:top w:val="single" w:color="000000" w:sz="4" w:space="0"/>
              <w:left w:val="nil"/>
              <w:bottom w:val="single" w:color="000000" w:sz="4" w:space="0"/>
              <w:right w:val="single" w:color="000000" w:sz="4" w:space="0"/>
            </w:tcBorders>
            <w:vAlign w:val="center"/>
          </w:tcPr>
          <w:p w14:paraId="2806272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0.00</w:t>
            </w:r>
          </w:p>
        </w:tc>
        <w:tc>
          <w:tcPr>
            <w:tcW w:w="1000" w:type="dxa"/>
            <w:tcBorders>
              <w:top w:val="nil"/>
              <w:left w:val="nil"/>
              <w:bottom w:val="single" w:color="000000" w:sz="4" w:space="0"/>
              <w:right w:val="single" w:color="000000" w:sz="4" w:space="0"/>
            </w:tcBorders>
            <w:vAlign w:val="center"/>
          </w:tcPr>
          <w:p w14:paraId="0F18B63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0.00%</w:t>
            </w:r>
          </w:p>
        </w:tc>
        <w:tc>
          <w:tcPr>
            <w:tcW w:w="480" w:type="dxa"/>
            <w:tcBorders>
              <w:top w:val="nil"/>
              <w:left w:val="nil"/>
              <w:bottom w:val="single" w:color="000000" w:sz="4" w:space="0"/>
              <w:right w:val="single" w:color="000000" w:sz="4" w:space="0"/>
            </w:tcBorders>
            <w:vAlign w:val="center"/>
          </w:tcPr>
          <w:p w14:paraId="42126A6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420" w:type="dxa"/>
            <w:tcBorders>
              <w:top w:val="nil"/>
              <w:left w:val="nil"/>
              <w:bottom w:val="single" w:color="000000" w:sz="4" w:space="0"/>
              <w:right w:val="single" w:color="000000" w:sz="4" w:space="0"/>
            </w:tcBorders>
            <w:vAlign w:val="center"/>
          </w:tcPr>
          <w:p w14:paraId="57884A1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2340" w:type="dxa"/>
            <w:vMerge w:val="continue"/>
            <w:tcBorders>
              <w:top w:val="nil"/>
              <w:left w:val="single" w:color="000000" w:sz="4" w:space="0"/>
              <w:bottom w:val="single" w:color="000000" w:sz="4" w:space="0"/>
              <w:right w:val="single" w:color="000000" w:sz="4" w:space="0"/>
            </w:tcBorders>
            <w:vAlign w:val="center"/>
          </w:tcPr>
          <w:p w14:paraId="228ED39C">
            <w:pPr>
              <w:widowControl/>
              <w:jc w:val="left"/>
              <w:rPr>
                <w:rFonts w:hint="eastAsia" w:ascii="黑体" w:hAnsi="黑体" w:eastAsia="黑体" w:cs="宋体"/>
                <w:color w:val="000000"/>
                <w:kern w:val="0"/>
                <w:sz w:val="18"/>
                <w:szCs w:val="18"/>
              </w:rPr>
            </w:pPr>
          </w:p>
        </w:tc>
      </w:tr>
      <w:tr w14:paraId="15AA883F">
        <w:tblPrEx>
          <w:tblCellMar>
            <w:top w:w="0" w:type="dxa"/>
            <w:left w:w="108" w:type="dxa"/>
            <w:bottom w:w="0" w:type="dxa"/>
            <w:right w:w="108" w:type="dxa"/>
          </w:tblCellMar>
        </w:tblPrEx>
        <w:trPr>
          <w:trHeight w:val="338" w:hRule="atLeast"/>
        </w:trPr>
        <w:tc>
          <w:tcPr>
            <w:tcW w:w="640" w:type="dxa"/>
            <w:vMerge w:val="continue"/>
            <w:tcBorders>
              <w:top w:val="nil"/>
              <w:left w:val="single" w:color="000000" w:sz="4" w:space="0"/>
              <w:bottom w:val="single" w:color="000000" w:sz="4" w:space="0"/>
              <w:right w:val="single" w:color="000000" w:sz="4" w:space="0"/>
            </w:tcBorders>
            <w:vAlign w:val="center"/>
          </w:tcPr>
          <w:p w14:paraId="541EA652">
            <w:pPr>
              <w:widowControl/>
              <w:jc w:val="left"/>
              <w:rPr>
                <w:rFonts w:hint="eastAsia" w:ascii="宋体" w:hAnsi="宋体" w:cs="宋体"/>
                <w:color w:val="000000"/>
                <w:kern w:val="0"/>
                <w:sz w:val="18"/>
                <w:szCs w:val="18"/>
              </w:rPr>
            </w:pPr>
          </w:p>
        </w:tc>
        <w:tc>
          <w:tcPr>
            <w:tcW w:w="1880" w:type="dxa"/>
            <w:tcBorders>
              <w:top w:val="nil"/>
              <w:left w:val="nil"/>
              <w:bottom w:val="single" w:color="000000" w:sz="4" w:space="0"/>
              <w:right w:val="single" w:color="000000" w:sz="4" w:space="0"/>
            </w:tcBorders>
            <w:vAlign w:val="center"/>
          </w:tcPr>
          <w:p w14:paraId="36DF6D6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其他资金</w:t>
            </w:r>
          </w:p>
        </w:tc>
        <w:tc>
          <w:tcPr>
            <w:tcW w:w="1620" w:type="dxa"/>
            <w:tcBorders>
              <w:top w:val="nil"/>
              <w:left w:val="nil"/>
              <w:bottom w:val="single" w:color="000000" w:sz="4" w:space="0"/>
              <w:right w:val="single" w:color="000000" w:sz="4" w:space="0"/>
            </w:tcBorders>
            <w:vAlign w:val="center"/>
          </w:tcPr>
          <w:p w14:paraId="34760667">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　</w:t>
            </w:r>
          </w:p>
        </w:tc>
        <w:tc>
          <w:tcPr>
            <w:tcW w:w="2080" w:type="dxa"/>
            <w:tcBorders>
              <w:top w:val="nil"/>
              <w:left w:val="nil"/>
              <w:bottom w:val="single" w:color="000000" w:sz="4" w:space="0"/>
              <w:right w:val="single" w:color="000000" w:sz="4" w:space="0"/>
            </w:tcBorders>
            <w:vAlign w:val="center"/>
          </w:tcPr>
          <w:p w14:paraId="2EE07769">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　</w:t>
            </w:r>
          </w:p>
        </w:tc>
        <w:tc>
          <w:tcPr>
            <w:tcW w:w="2500" w:type="dxa"/>
            <w:gridSpan w:val="3"/>
            <w:tcBorders>
              <w:top w:val="single" w:color="000000" w:sz="4" w:space="0"/>
              <w:left w:val="nil"/>
              <w:bottom w:val="single" w:color="000000" w:sz="4" w:space="0"/>
              <w:right w:val="single" w:color="000000" w:sz="4" w:space="0"/>
            </w:tcBorders>
            <w:vAlign w:val="center"/>
          </w:tcPr>
          <w:p w14:paraId="7451B063">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　</w:t>
            </w:r>
          </w:p>
        </w:tc>
        <w:tc>
          <w:tcPr>
            <w:tcW w:w="1000" w:type="dxa"/>
            <w:tcBorders>
              <w:top w:val="nil"/>
              <w:left w:val="nil"/>
              <w:bottom w:val="single" w:color="000000" w:sz="4" w:space="0"/>
              <w:right w:val="single" w:color="000000" w:sz="4" w:space="0"/>
            </w:tcBorders>
            <w:vAlign w:val="center"/>
          </w:tcPr>
          <w:p w14:paraId="7CE8BD79">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　</w:t>
            </w:r>
          </w:p>
        </w:tc>
        <w:tc>
          <w:tcPr>
            <w:tcW w:w="480" w:type="dxa"/>
            <w:tcBorders>
              <w:top w:val="nil"/>
              <w:left w:val="nil"/>
              <w:bottom w:val="single" w:color="000000" w:sz="4" w:space="0"/>
              <w:right w:val="single" w:color="000000" w:sz="4" w:space="0"/>
            </w:tcBorders>
            <w:vAlign w:val="center"/>
          </w:tcPr>
          <w:p w14:paraId="07B9C06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420" w:type="dxa"/>
            <w:tcBorders>
              <w:top w:val="nil"/>
              <w:left w:val="nil"/>
              <w:bottom w:val="single" w:color="000000" w:sz="4" w:space="0"/>
              <w:right w:val="single" w:color="000000" w:sz="4" w:space="0"/>
            </w:tcBorders>
            <w:vAlign w:val="center"/>
          </w:tcPr>
          <w:p w14:paraId="7C15C84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2340" w:type="dxa"/>
            <w:vMerge w:val="continue"/>
            <w:tcBorders>
              <w:top w:val="nil"/>
              <w:left w:val="single" w:color="000000" w:sz="4" w:space="0"/>
              <w:bottom w:val="single" w:color="000000" w:sz="4" w:space="0"/>
              <w:right w:val="single" w:color="000000" w:sz="4" w:space="0"/>
            </w:tcBorders>
            <w:vAlign w:val="center"/>
          </w:tcPr>
          <w:p w14:paraId="6AB0A4AE">
            <w:pPr>
              <w:widowControl/>
              <w:jc w:val="left"/>
              <w:rPr>
                <w:rFonts w:hint="eastAsia" w:ascii="黑体" w:hAnsi="黑体" w:eastAsia="黑体" w:cs="宋体"/>
                <w:color w:val="000000"/>
                <w:kern w:val="0"/>
                <w:sz w:val="18"/>
                <w:szCs w:val="18"/>
              </w:rPr>
            </w:pPr>
          </w:p>
        </w:tc>
      </w:tr>
      <w:tr w14:paraId="7972E648">
        <w:tblPrEx>
          <w:tblCellMar>
            <w:top w:w="0" w:type="dxa"/>
            <w:left w:w="108" w:type="dxa"/>
            <w:bottom w:w="0" w:type="dxa"/>
            <w:right w:w="108" w:type="dxa"/>
          </w:tblCellMar>
        </w:tblPrEx>
        <w:trPr>
          <w:trHeight w:val="455" w:hRule="atLeast"/>
        </w:trPr>
        <w:tc>
          <w:tcPr>
            <w:tcW w:w="640" w:type="dxa"/>
            <w:vMerge w:val="restart"/>
            <w:tcBorders>
              <w:top w:val="nil"/>
              <w:left w:val="single" w:color="000000" w:sz="4" w:space="0"/>
              <w:bottom w:val="single" w:color="000000" w:sz="4" w:space="0"/>
              <w:right w:val="single" w:color="000000" w:sz="4" w:space="0"/>
            </w:tcBorders>
            <w:vAlign w:val="center"/>
          </w:tcPr>
          <w:p w14:paraId="4A3994F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绩效指标（90分）</w:t>
            </w:r>
          </w:p>
        </w:tc>
        <w:tc>
          <w:tcPr>
            <w:tcW w:w="1880" w:type="dxa"/>
            <w:tcBorders>
              <w:top w:val="nil"/>
              <w:left w:val="nil"/>
              <w:bottom w:val="single" w:color="000000" w:sz="4" w:space="0"/>
              <w:right w:val="single" w:color="000000" w:sz="4" w:space="0"/>
            </w:tcBorders>
            <w:vAlign w:val="center"/>
          </w:tcPr>
          <w:p w14:paraId="1E152E9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一级指标</w:t>
            </w:r>
          </w:p>
        </w:tc>
        <w:tc>
          <w:tcPr>
            <w:tcW w:w="1620" w:type="dxa"/>
            <w:tcBorders>
              <w:top w:val="nil"/>
              <w:left w:val="nil"/>
              <w:bottom w:val="single" w:color="000000" w:sz="4" w:space="0"/>
              <w:right w:val="single" w:color="000000" w:sz="4" w:space="0"/>
            </w:tcBorders>
            <w:vAlign w:val="center"/>
          </w:tcPr>
          <w:p w14:paraId="2DA8FC5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二级指标</w:t>
            </w:r>
          </w:p>
        </w:tc>
        <w:tc>
          <w:tcPr>
            <w:tcW w:w="2080" w:type="dxa"/>
            <w:tcBorders>
              <w:top w:val="nil"/>
              <w:left w:val="nil"/>
              <w:bottom w:val="single" w:color="000000" w:sz="4" w:space="0"/>
              <w:right w:val="single" w:color="000000" w:sz="4" w:space="0"/>
            </w:tcBorders>
            <w:vAlign w:val="center"/>
          </w:tcPr>
          <w:p w14:paraId="46E4A8B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三级指标</w:t>
            </w:r>
          </w:p>
        </w:tc>
        <w:tc>
          <w:tcPr>
            <w:tcW w:w="480" w:type="dxa"/>
            <w:tcBorders>
              <w:top w:val="nil"/>
              <w:left w:val="nil"/>
              <w:bottom w:val="single" w:color="000000" w:sz="4" w:space="0"/>
              <w:right w:val="single" w:color="000000" w:sz="4" w:space="0"/>
            </w:tcBorders>
            <w:vAlign w:val="center"/>
          </w:tcPr>
          <w:p w14:paraId="4D2A110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指标性质</w:t>
            </w:r>
          </w:p>
        </w:tc>
        <w:tc>
          <w:tcPr>
            <w:tcW w:w="1540" w:type="dxa"/>
            <w:tcBorders>
              <w:top w:val="nil"/>
              <w:left w:val="nil"/>
              <w:bottom w:val="single" w:color="000000" w:sz="4" w:space="0"/>
              <w:right w:val="single" w:color="000000" w:sz="4" w:space="0"/>
            </w:tcBorders>
            <w:vAlign w:val="center"/>
          </w:tcPr>
          <w:p w14:paraId="61DD415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指标值</w:t>
            </w:r>
          </w:p>
        </w:tc>
        <w:tc>
          <w:tcPr>
            <w:tcW w:w="480" w:type="dxa"/>
            <w:tcBorders>
              <w:top w:val="nil"/>
              <w:left w:val="nil"/>
              <w:bottom w:val="single" w:color="000000" w:sz="4" w:space="0"/>
              <w:right w:val="single" w:color="000000" w:sz="4" w:space="0"/>
            </w:tcBorders>
            <w:vAlign w:val="center"/>
          </w:tcPr>
          <w:p w14:paraId="00209F1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度量单位</w:t>
            </w:r>
          </w:p>
        </w:tc>
        <w:tc>
          <w:tcPr>
            <w:tcW w:w="1000" w:type="dxa"/>
            <w:tcBorders>
              <w:top w:val="nil"/>
              <w:left w:val="nil"/>
              <w:bottom w:val="single" w:color="000000" w:sz="4" w:space="0"/>
              <w:right w:val="single" w:color="000000" w:sz="4" w:space="0"/>
            </w:tcBorders>
            <w:vAlign w:val="center"/>
          </w:tcPr>
          <w:p w14:paraId="7E84123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完成值</w:t>
            </w:r>
          </w:p>
        </w:tc>
        <w:tc>
          <w:tcPr>
            <w:tcW w:w="480" w:type="dxa"/>
            <w:tcBorders>
              <w:top w:val="nil"/>
              <w:left w:val="nil"/>
              <w:bottom w:val="single" w:color="000000" w:sz="4" w:space="0"/>
              <w:right w:val="single" w:color="000000" w:sz="4" w:space="0"/>
            </w:tcBorders>
            <w:vAlign w:val="center"/>
          </w:tcPr>
          <w:p w14:paraId="2BBABDA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权重</w:t>
            </w:r>
          </w:p>
        </w:tc>
        <w:tc>
          <w:tcPr>
            <w:tcW w:w="420" w:type="dxa"/>
            <w:tcBorders>
              <w:top w:val="nil"/>
              <w:left w:val="nil"/>
              <w:bottom w:val="single" w:color="000000" w:sz="4" w:space="0"/>
              <w:right w:val="single" w:color="000000" w:sz="4" w:space="0"/>
            </w:tcBorders>
            <w:vAlign w:val="center"/>
          </w:tcPr>
          <w:p w14:paraId="360AFF2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得分</w:t>
            </w:r>
          </w:p>
        </w:tc>
        <w:tc>
          <w:tcPr>
            <w:tcW w:w="2340" w:type="dxa"/>
            <w:tcBorders>
              <w:top w:val="nil"/>
              <w:left w:val="nil"/>
              <w:bottom w:val="single" w:color="000000" w:sz="4" w:space="0"/>
              <w:right w:val="single" w:color="000000" w:sz="4" w:space="0"/>
            </w:tcBorders>
            <w:vAlign w:val="center"/>
          </w:tcPr>
          <w:p w14:paraId="5EEB06D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未完成原因分析</w:t>
            </w:r>
          </w:p>
        </w:tc>
      </w:tr>
      <w:tr w14:paraId="60948F37">
        <w:tblPrEx>
          <w:tblCellMar>
            <w:top w:w="0" w:type="dxa"/>
            <w:left w:w="108" w:type="dxa"/>
            <w:bottom w:w="0" w:type="dxa"/>
            <w:right w:w="108" w:type="dxa"/>
          </w:tblCellMar>
        </w:tblPrEx>
        <w:trPr>
          <w:trHeight w:val="338" w:hRule="atLeast"/>
        </w:trPr>
        <w:tc>
          <w:tcPr>
            <w:tcW w:w="640" w:type="dxa"/>
            <w:vMerge w:val="continue"/>
            <w:tcBorders>
              <w:top w:val="nil"/>
              <w:left w:val="single" w:color="000000" w:sz="4" w:space="0"/>
              <w:bottom w:val="single" w:color="000000" w:sz="4" w:space="0"/>
              <w:right w:val="single" w:color="000000" w:sz="4" w:space="0"/>
            </w:tcBorders>
            <w:vAlign w:val="center"/>
          </w:tcPr>
          <w:p w14:paraId="47F9597B">
            <w:pPr>
              <w:widowControl/>
              <w:jc w:val="left"/>
              <w:rPr>
                <w:rFonts w:hint="eastAsia" w:ascii="宋体" w:hAnsi="宋体" w:cs="宋体"/>
                <w:color w:val="000000"/>
                <w:kern w:val="0"/>
                <w:sz w:val="18"/>
                <w:szCs w:val="18"/>
              </w:rPr>
            </w:pPr>
          </w:p>
        </w:tc>
        <w:tc>
          <w:tcPr>
            <w:tcW w:w="1880" w:type="dxa"/>
            <w:vMerge w:val="restart"/>
            <w:tcBorders>
              <w:top w:val="nil"/>
              <w:left w:val="single" w:color="000000" w:sz="4" w:space="0"/>
              <w:bottom w:val="single" w:color="000000" w:sz="4" w:space="0"/>
              <w:right w:val="single" w:color="000000" w:sz="4" w:space="0"/>
            </w:tcBorders>
            <w:vAlign w:val="center"/>
          </w:tcPr>
          <w:p w14:paraId="43EAB14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产出指标</w:t>
            </w:r>
          </w:p>
        </w:tc>
        <w:tc>
          <w:tcPr>
            <w:tcW w:w="1620" w:type="dxa"/>
            <w:tcBorders>
              <w:top w:val="nil"/>
              <w:left w:val="nil"/>
              <w:bottom w:val="single" w:color="000000" w:sz="4" w:space="0"/>
              <w:right w:val="single" w:color="000000" w:sz="4" w:space="0"/>
            </w:tcBorders>
            <w:vAlign w:val="center"/>
          </w:tcPr>
          <w:p w14:paraId="1DA0CD3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数量指标</w:t>
            </w:r>
          </w:p>
        </w:tc>
        <w:tc>
          <w:tcPr>
            <w:tcW w:w="2080" w:type="dxa"/>
            <w:tcBorders>
              <w:top w:val="nil"/>
              <w:left w:val="nil"/>
              <w:bottom w:val="single" w:color="000000" w:sz="4" w:space="0"/>
              <w:right w:val="single" w:color="000000" w:sz="4" w:space="0"/>
            </w:tcBorders>
            <w:vAlign w:val="center"/>
          </w:tcPr>
          <w:p w14:paraId="3CED5C3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项目完成任务</w:t>
            </w:r>
          </w:p>
        </w:tc>
        <w:tc>
          <w:tcPr>
            <w:tcW w:w="480" w:type="dxa"/>
            <w:tcBorders>
              <w:top w:val="nil"/>
              <w:left w:val="nil"/>
              <w:bottom w:val="single" w:color="000000" w:sz="4" w:space="0"/>
              <w:right w:val="single" w:color="000000" w:sz="4" w:space="0"/>
            </w:tcBorders>
            <w:vAlign w:val="center"/>
          </w:tcPr>
          <w:p w14:paraId="78F7B4B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1540" w:type="dxa"/>
            <w:tcBorders>
              <w:top w:val="nil"/>
              <w:left w:val="nil"/>
              <w:bottom w:val="single" w:color="000000" w:sz="4" w:space="0"/>
              <w:right w:val="single" w:color="000000" w:sz="4" w:space="0"/>
            </w:tcBorders>
            <w:vAlign w:val="center"/>
          </w:tcPr>
          <w:p w14:paraId="51DDEC8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16248</w:t>
            </w:r>
          </w:p>
        </w:tc>
        <w:tc>
          <w:tcPr>
            <w:tcW w:w="480" w:type="dxa"/>
            <w:tcBorders>
              <w:top w:val="nil"/>
              <w:left w:val="nil"/>
              <w:bottom w:val="single" w:color="000000" w:sz="4" w:space="0"/>
              <w:right w:val="single" w:color="000000" w:sz="4" w:space="0"/>
            </w:tcBorders>
            <w:vAlign w:val="center"/>
          </w:tcPr>
          <w:p w14:paraId="49C7316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场次</w:t>
            </w:r>
          </w:p>
        </w:tc>
        <w:tc>
          <w:tcPr>
            <w:tcW w:w="1000" w:type="dxa"/>
            <w:tcBorders>
              <w:top w:val="nil"/>
              <w:left w:val="nil"/>
              <w:bottom w:val="single" w:color="000000" w:sz="4" w:space="0"/>
              <w:right w:val="single" w:color="000000" w:sz="4" w:space="0"/>
            </w:tcBorders>
            <w:vAlign w:val="center"/>
          </w:tcPr>
          <w:p w14:paraId="79C052FA">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100%</w:t>
            </w:r>
          </w:p>
        </w:tc>
        <w:tc>
          <w:tcPr>
            <w:tcW w:w="480" w:type="dxa"/>
            <w:tcBorders>
              <w:top w:val="nil"/>
              <w:left w:val="nil"/>
              <w:bottom w:val="single" w:color="000000" w:sz="4" w:space="0"/>
              <w:right w:val="single" w:color="000000" w:sz="4" w:space="0"/>
            </w:tcBorders>
            <w:vAlign w:val="center"/>
          </w:tcPr>
          <w:p w14:paraId="623C30F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w:t>
            </w:r>
          </w:p>
        </w:tc>
        <w:tc>
          <w:tcPr>
            <w:tcW w:w="420" w:type="dxa"/>
            <w:tcBorders>
              <w:top w:val="nil"/>
              <w:left w:val="nil"/>
              <w:bottom w:val="single" w:color="000000" w:sz="4" w:space="0"/>
              <w:right w:val="single" w:color="000000" w:sz="4" w:space="0"/>
            </w:tcBorders>
            <w:vAlign w:val="center"/>
          </w:tcPr>
          <w:p w14:paraId="3A30309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w:t>
            </w:r>
          </w:p>
        </w:tc>
        <w:tc>
          <w:tcPr>
            <w:tcW w:w="2340" w:type="dxa"/>
            <w:tcBorders>
              <w:top w:val="nil"/>
              <w:left w:val="nil"/>
              <w:bottom w:val="single" w:color="000000" w:sz="4" w:space="0"/>
              <w:right w:val="single" w:color="000000" w:sz="4" w:space="0"/>
            </w:tcBorders>
            <w:vAlign w:val="center"/>
          </w:tcPr>
          <w:p w14:paraId="65C563DA">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　</w:t>
            </w:r>
          </w:p>
        </w:tc>
      </w:tr>
      <w:tr w14:paraId="5A1E4B57">
        <w:tblPrEx>
          <w:tblCellMar>
            <w:top w:w="0" w:type="dxa"/>
            <w:left w:w="108" w:type="dxa"/>
            <w:bottom w:w="0" w:type="dxa"/>
            <w:right w:w="108" w:type="dxa"/>
          </w:tblCellMar>
        </w:tblPrEx>
        <w:trPr>
          <w:trHeight w:val="338" w:hRule="atLeast"/>
        </w:trPr>
        <w:tc>
          <w:tcPr>
            <w:tcW w:w="640" w:type="dxa"/>
            <w:vMerge w:val="continue"/>
            <w:tcBorders>
              <w:top w:val="nil"/>
              <w:left w:val="single" w:color="000000" w:sz="4" w:space="0"/>
              <w:bottom w:val="single" w:color="000000" w:sz="4" w:space="0"/>
              <w:right w:val="single" w:color="000000" w:sz="4" w:space="0"/>
            </w:tcBorders>
            <w:vAlign w:val="center"/>
          </w:tcPr>
          <w:p w14:paraId="3E4715D6">
            <w:pPr>
              <w:widowControl/>
              <w:jc w:val="left"/>
              <w:rPr>
                <w:rFonts w:hint="eastAsia" w:ascii="宋体" w:hAnsi="宋体" w:cs="宋体"/>
                <w:color w:val="000000"/>
                <w:kern w:val="0"/>
                <w:sz w:val="18"/>
                <w:szCs w:val="18"/>
              </w:rPr>
            </w:pPr>
          </w:p>
        </w:tc>
        <w:tc>
          <w:tcPr>
            <w:tcW w:w="1880" w:type="dxa"/>
            <w:vMerge w:val="continue"/>
            <w:tcBorders>
              <w:top w:val="nil"/>
              <w:left w:val="single" w:color="000000" w:sz="4" w:space="0"/>
              <w:bottom w:val="single" w:color="000000" w:sz="4" w:space="0"/>
              <w:right w:val="single" w:color="000000" w:sz="4" w:space="0"/>
            </w:tcBorders>
            <w:vAlign w:val="center"/>
          </w:tcPr>
          <w:p w14:paraId="481D78F3">
            <w:pPr>
              <w:widowControl/>
              <w:jc w:val="left"/>
              <w:rPr>
                <w:rFonts w:hint="eastAsia" w:ascii="宋体" w:hAnsi="宋体" w:cs="宋体"/>
                <w:color w:val="000000"/>
                <w:kern w:val="0"/>
                <w:sz w:val="18"/>
                <w:szCs w:val="18"/>
              </w:rPr>
            </w:pPr>
          </w:p>
        </w:tc>
        <w:tc>
          <w:tcPr>
            <w:tcW w:w="1620" w:type="dxa"/>
            <w:tcBorders>
              <w:top w:val="nil"/>
              <w:left w:val="nil"/>
              <w:bottom w:val="single" w:color="000000" w:sz="4" w:space="0"/>
              <w:right w:val="single" w:color="000000" w:sz="4" w:space="0"/>
            </w:tcBorders>
            <w:vAlign w:val="center"/>
          </w:tcPr>
          <w:p w14:paraId="2DB5E3B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质量指标</w:t>
            </w:r>
          </w:p>
        </w:tc>
        <w:tc>
          <w:tcPr>
            <w:tcW w:w="2080" w:type="dxa"/>
            <w:tcBorders>
              <w:top w:val="nil"/>
              <w:left w:val="nil"/>
              <w:bottom w:val="single" w:color="000000" w:sz="4" w:space="0"/>
              <w:right w:val="single" w:color="000000" w:sz="4" w:space="0"/>
            </w:tcBorders>
            <w:vAlign w:val="center"/>
          </w:tcPr>
          <w:p w14:paraId="35EC8F8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放映合格率</w:t>
            </w:r>
          </w:p>
        </w:tc>
        <w:tc>
          <w:tcPr>
            <w:tcW w:w="480" w:type="dxa"/>
            <w:tcBorders>
              <w:top w:val="nil"/>
              <w:left w:val="nil"/>
              <w:bottom w:val="single" w:color="000000" w:sz="4" w:space="0"/>
              <w:right w:val="single" w:color="000000" w:sz="4" w:space="0"/>
            </w:tcBorders>
            <w:vAlign w:val="center"/>
          </w:tcPr>
          <w:p w14:paraId="4F4A4D6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1540" w:type="dxa"/>
            <w:tcBorders>
              <w:top w:val="nil"/>
              <w:left w:val="nil"/>
              <w:bottom w:val="single" w:color="000000" w:sz="4" w:space="0"/>
              <w:right w:val="single" w:color="000000" w:sz="4" w:space="0"/>
            </w:tcBorders>
            <w:vAlign w:val="center"/>
          </w:tcPr>
          <w:p w14:paraId="70879CA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95</w:t>
            </w:r>
          </w:p>
        </w:tc>
        <w:tc>
          <w:tcPr>
            <w:tcW w:w="480" w:type="dxa"/>
            <w:tcBorders>
              <w:top w:val="nil"/>
              <w:left w:val="nil"/>
              <w:bottom w:val="single" w:color="000000" w:sz="4" w:space="0"/>
              <w:right w:val="single" w:color="000000" w:sz="4" w:space="0"/>
            </w:tcBorders>
            <w:vAlign w:val="center"/>
          </w:tcPr>
          <w:p w14:paraId="1D920D7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1000" w:type="dxa"/>
            <w:tcBorders>
              <w:top w:val="nil"/>
              <w:left w:val="nil"/>
              <w:bottom w:val="single" w:color="000000" w:sz="4" w:space="0"/>
              <w:right w:val="single" w:color="000000" w:sz="4" w:space="0"/>
            </w:tcBorders>
            <w:vAlign w:val="center"/>
          </w:tcPr>
          <w:p w14:paraId="071B2A55">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100%</w:t>
            </w:r>
          </w:p>
        </w:tc>
        <w:tc>
          <w:tcPr>
            <w:tcW w:w="480" w:type="dxa"/>
            <w:tcBorders>
              <w:top w:val="nil"/>
              <w:left w:val="nil"/>
              <w:bottom w:val="single" w:color="000000" w:sz="4" w:space="0"/>
              <w:right w:val="single" w:color="000000" w:sz="4" w:space="0"/>
            </w:tcBorders>
            <w:vAlign w:val="center"/>
          </w:tcPr>
          <w:p w14:paraId="3833B6C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420" w:type="dxa"/>
            <w:tcBorders>
              <w:top w:val="nil"/>
              <w:left w:val="nil"/>
              <w:bottom w:val="single" w:color="000000" w:sz="4" w:space="0"/>
              <w:right w:val="single" w:color="000000" w:sz="4" w:space="0"/>
            </w:tcBorders>
            <w:vAlign w:val="center"/>
          </w:tcPr>
          <w:p w14:paraId="32F7B71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2340" w:type="dxa"/>
            <w:tcBorders>
              <w:top w:val="nil"/>
              <w:left w:val="nil"/>
              <w:bottom w:val="single" w:color="000000" w:sz="4" w:space="0"/>
              <w:right w:val="single" w:color="000000" w:sz="4" w:space="0"/>
            </w:tcBorders>
            <w:vAlign w:val="center"/>
          </w:tcPr>
          <w:p w14:paraId="64382CDF">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　</w:t>
            </w:r>
          </w:p>
        </w:tc>
      </w:tr>
      <w:tr w14:paraId="6F83F68E">
        <w:tblPrEx>
          <w:tblCellMar>
            <w:top w:w="0" w:type="dxa"/>
            <w:left w:w="108" w:type="dxa"/>
            <w:bottom w:w="0" w:type="dxa"/>
            <w:right w:w="108" w:type="dxa"/>
          </w:tblCellMar>
        </w:tblPrEx>
        <w:trPr>
          <w:trHeight w:val="338" w:hRule="atLeast"/>
        </w:trPr>
        <w:tc>
          <w:tcPr>
            <w:tcW w:w="640" w:type="dxa"/>
            <w:vMerge w:val="continue"/>
            <w:tcBorders>
              <w:top w:val="nil"/>
              <w:left w:val="single" w:color="000000" w:sz="4" w:space="0"/>
              <w:bottom w:val="single" w:color="000000" w:sz="4" w:space="0"/>
              <w:right w:val="single" w:color="000000" w:sz="4" w:space="0"/>
            </w:tcBorders>
            <w:vAlign w:val="center"/>
          </w:tcPr>
          <w:p w14:paraId="573D2AC3">
            <w:pPr>
              <w:widowControl/>
              <w:jc w:val="left"/>
              <w:rPr>
                <w:rFonts w:hint="eastAsia" w:ascii="宋体" w:hAnsi="宋体" w:cs="宋体"/>
                <w:color w:val="000000"/>
                <w:kern w:val="0"/>
                <w:sz w:val="18"/>
                <w:szCs w:val="18"/>
              </w:rPr>
            </w:pPr>
          </w:p>
        </w:tc>
        <w:tc>
          <w:tcPr>
            <w:tcW w:w="1880" w:type="dxa"/>
            <w:vMerge w:val="continue"/>
            <w:tcBorders>
              <w:top w:val="nil"/>
              <w:left w:val="single" w:color="000000" w:sz="4" w:space="0"/>
              <w:bottom w:val="single" w:color="000000" w:sz="4" w:space="0"/>
              <w:right w:val="single" w:color="000000" w:sz="4" w:space="0"/>
            </w:tcBorders>
            <w:vAlign w:val="center"/>
          </w:tcPr>
          <w:p w14:paraId="609E52BB">
            <w:pPr>
              <w:widowControl/>
              <w:jc w:val="left"/>
              <w:rPr>
                <w:rFonts w:hint="eastAsia" w:ascii="宋体" w:hAnsi="宋体" w:cs="宋体"/>
                <w:color w:val="000000"/>
                <w:kern w:val="0"/>
                <w:sz w:val="18"/>
                <w:szCs w:val="18"/>
              </w:rPr>
            </w:pPr>
          </w:p>
        </w:tc>
        <w:tc>
          <w:tcPr>
            <w:tcW w:w="1620" w:type="dxa"/>
            <w:tcBorders>
              <w:top w:val="nil"/>
              <w:left w:val="nil"/>
              <w:bottom w:val="single" w:color="000000" w:sz="4" w:space="0"/>
              <w:right w:val="single" w:color="000000" w:sz="4" w:space="0"/>
            </w:tcBorders>
            <w:vAlign w:val="center"/>
          </w:tcPr>
          <w:p w14:paraId="34D8AC3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时效指标</w:t>
            </w:r>
          </w:p>
        </w:tc>
        <w:tc>
          <w:tcPr>
            <w:tcW w:w="2080" w:type="dxa"/>
            <w:tcBorders>
              <w:top w:val="nil"/>
              <w:left w:val="nil"/>
              <w:bottom w:val="single" w:color="000000" w:sz="4" w:space="0"/>
              <w:right w:val="single" w:color="000000" w:sz="4" w:space="0"/>
            </w:tcBorders>
            <w:vAlign w:val="center"/>
          </w:tcPr>
          <w:p w14:paraId="7754BE5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项目完成所需时间</w:t>
            </w:r>
          </w:p>
        </w:tc>
        <w:tc>
          <w:tcPr>
            <w:tcW w:w="480" w:type="dxa"/>
            <w:tcBorders>
              <w:top w:val="nil"/>
              <w:left w:val="nil"/>
              <w:bottom w:val="single" w:color="000000" w:sz="4" w:space="0"/>
              <w:right w:val="single" w:color="000000" w:sz="4" w:space="0"/>
            </w:tcBorders>
            <w:vAlign w:val="center"/>
          </w:tcPr>
          <w:p w14:paraId="0916ADB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1540" w:type="dxa"/>
            <w:tcBorders>
              <w:top w:val="nil"/>
              <w:left w:val="nil"/>
              <w:bottom w:val="single" w:color="000000" w:sz="4" w:space="0"/>
              <w:right w:val="single" w:color="000000" w:sz="4" w:space="0"/>
            </w:tcBorders>
            <w:vAlign w:val="center"/>
          </w:tcPr>
          <w:p w14:paraId="4613934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12</w:t>
            </w:r>
          </w:p>
        </w:tc>
        <w:tc>
          <w:tcPr>
            <w:tcW w:w="480" w:type="dxa"/>
            <w:tcBorders>
              <w:top w:val="nil"/>
              <w:left w:val="nil"/>
              <w:bottom w:val="single" w:color="000000" w:sz="4" w:space="0"/>
              <w:right w:val="single" w:color="000000" w:sz="4" w:space="0"/>
            </w:tcBorders>
            <w:vAlign w:val="center"/>
          </w:tcPr>
          <w:p w14:paraId="7807164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月</w:t>
            </w:r>
          </w:p>
        </w:tc>
        <w:tc>
          <w:tcPr>
            <w:tcW w:w="1000" w:type="dxa"/>
            <w:tcBorders>
              <w:top w:val="nil"/>
              <w:left w:val="nil"/>
              <w:bottom w:val="single" w:color="000000" w:sz="4" w:space="0"/>
              <w:right w:val="single" w:color="000000" w:sz="4" w:space="0"/>
            </w:tcBorders>
            <w:vAlign w:val="center"/>
          </w:tcPr>
          <w:p w14:paraId="42EDFD01">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100%</w:t>
            </w:r>
          </w:p>
        </w:tc>
        <w:tc>
          <w:tcPr>
            <w:tcW w:w="480" w:type="dxa"/>
            <w:tcBorders>
              <w:top w:val="nil"/>
              <w:left w:val="nil"/>
              <w:bottom w:val="single" w:color="000000" w:sz="4" w:space="0"/>
              <w:right w:val="single" w:color="000000" w:sz="4" w:space="0"/>
            </w:tcBorders>
            <w:vAlign w:val="center"/>
          </w:tcPr>
          <w:p w14:paraId="3F0FE22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420" w:type="dxa"/>
            <w:tcBorders>
              <w:top w:val="nil"/>
              <w:left w:val="nil"/>
              <w:bottom w:val="single" w:color="000000" w:sz="4" w:space="0"/>
              <w:right w:val="single" w:color="000000" w:sz="4" w:space="0"/>
            </w:tcBorders>
            <w:vAlign w:val="center"/>
          </w:tcPr>
          <w:p w14:paraId="5F640DB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2340" w:type="dxa"/>
            <w:tcBorders>
              <w:top w:val="nil"/>
              <w:left w:val="nil"/>
              <w:bottom w:val="single" w:color="000000" w:sz="4" w:space="0"/>
              <w:right w:val="single" w:color="000000" w:sz="4" w:space="0"/>
            </w:tcBorders>
            <w:vAlign w:val="center"/>
          </w:tcPr>
          <w:p w14:paraId="1C6F28FB">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　</w:t>
            </w:r>
          </w:p>
        </w:tc>
      </w:tr>
      <w:tr w14:paraId="701CF145">
        <w:tblPrEx>
          <w:tblCellMar>
            <w:top w:w="0" w:type="dxa"/>
            <w:left w:w="108" w:type="dxa"/>
            <w:bottom w:w="0" w:type="dxa"/>
            <w:right w:w="108" w:type="dxa"/>
          </w:tblCellMar>
        </w:tblPrEx>
        <w:trPr>
          <w:trHeight w:val="338" w:hRule="atLeast"/>
        </w:trPr>
        <w:tc>
          <w:tcPr>
            <w:tcW w:w="640" w:type="dxa"/>
            <w:vMerge w:val="continue"/>
            <w:tcBorders>
              <w:top w:val="nil"/>
              <w:left w:val="single" w:color="000000" w:sz="4" w:space="0"/>
              <w:bottom w:val="single" w:color="000000" w:sz="4" w:space="0"/>
              <w:right w:val="single" w:color="000000" w:sz="4" w:space="0"/>
            </w:tcBorders>
            <w:vAlign w:val="center"/>
          </w:tcPr>
          <w:p w14:paraId="34968977">
            <w:pPr>
              <w:widowControl/>
              <w:jc w:val="left"/>
              <w:rPr>
                <w:rFonts w:hint="eastAsia" w:ascii="宋体" w:hAnsi="宋体" w:cs="宋体"/>
                <w:color w:val="000000"/>
                <w:kern w:val="0"/>
                <w:sz w:val="18"/>
                <w:szCs w:val="18"/>
              </w:rPr>
            </w:pPr>
          </w:p>
        </w:tc>
        <w:tc>
          <w:tcPr>
            <w:tcW w:w="1880" w:type="dxa"/>
            <w:tcBorders>
              <w:top w:val="nil"/>
              <w:left w:val="nil"/>
              <w:bottom w:val="single" w:color="000000" w:sz="4" w:space="0"/>
              <w:right w:val="single" w:color="000000" w:sz="4" w:space="0"/>
            </w:tcBorders>
            <w:vAlign w:val="center"/>
          </w:tcPr>
          <w:p w14:paraId="0E24790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效益指标</w:t>
            </w:r>
          </w:p>
        </w:tc>
        <w:tc>
          <w:tcPr>
            <w:tcW w:w="1620" w:type="dxa"/>
            <w:tcBorders>
              <w:top w:val="nil"/>
              <w:left w:val="nil"/>
              <w:bottom w:val="single" w:color="000000" w:sz="4" w:space="0"/>
              <w:right w:val="single" w:color="000000" w:sz="4" w:space="0"/>
            </w:tcBorders>
            <w:vAlign w:val="center"/>
          </w:tcPr>
          <w:p w14:paraId="28435FA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社会效益指标</w:t>
            </w:r>
          </w:p>
        </w:tc>
        <w:tc>
          <w:tcPr>
            <w:tcW w:w="2080" w:type="dxa"/>
            <w:tcBorders>
              <w:top w:val="nil"/>
              <w:left w:val="nil"/>
              <w:bottom w:val="single" w:color="000000" w:sz="4" w:space="0"/>
              <w:right w:val="single" w:color="000000" w:sz="4" w:space="0"/>
            </w:tcBorders>
            <w:vAlign w:val="center"/>
          </w:tcPr>
          <w:p w14:paraId="3BBA45C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规范全州13县月放映质量</w:t>
            </w:r>
          </w:p>
        </w:tc>
        <w:tc>
          <w:tcPr>
            <w:tcW w:w="480" w:type="dxa"/>
            <w:tcBorders>
              <w:top w:val="nil"/>
              <w:left w:val="nil"/>
              <w:bottom w:val="single" w:color="000000" w:sz="4" w:space="0"/>
              <w:right w:val="single" w:color="000000" w:sz="4" w:space="0"/>
            </w:tcBorders>
            <w:vAlign w:val="center"/>
          </w:tcPr>
          <w:p w14:paraId="74143D5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定性</w:t>
            </w:r>
          </w:p>
        </w:tc>
        <w:tc>
          <w:tcPr>
            <w:tcW w:w="1540" w:type="dxa"/>
            <w:tcBorders>
              <w:top w:val="nil"/>
              <w:left w:val="nil"/>
              <w:bottom w:val="single" w:color="000000" w:sz="4" w:space="0"/>
              <w:right w:val="single" w:color="000000" w:sz="4" w:space="0"/>
            </w:tcBorders>
            <w:vAlign w:val="center"/>
          </w:tcPr>
          <w:p w14:paraId="4781D5B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效果显著</w:t>
            </w:r>
          </w:p>
        </w:tc>
        <w:tc>
          <w:tcPr>
            <w:tcW w:w="480" w:type="dxa"/>
            <w:tcBorders>
              <w:top w:val="nil"/>
              <w:left w:val="nil"/>
              <w:bottom w:val="single" w:color="000000" w:sz="4" w:space="0"/>
              <w:right w:val="single" w:color="000000" w:sz="4" w:space="0"/>
            </w:tcBorders>
            <w:vAlign w:val="center"/>
          </w:tcPr>
          <w:p w14:paraId="5AF1E19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000" w:type="dxa"/>
            <w:tcBorders>
              <w:top w:val="nil"/>
              <w:left w:val="nil"/>
              <w:bottom w:val="single" w:color="000000" w:sz="4" w:space="0"/>
              <w:right w:val="single" w:color="000000" w:sz="4" w:space="0"/>
            </w:tcBorders>
            <w:vAlign w:val="center"/>
          </w:tcPr>
          <w:p w14:paraId="0C676812">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100%</w:t>
            </w:r>
          </w:p>
        </w:tc>
        <w:tc>
          <w:tcPr>
            <w:tcW w:w="480" w:type="dxa"/>
            <w:tcBorders>
              <w:top w:val="nil"/>
              <w:left w:val="nil"/>
              <w:bottom w:val="single" w:color="000000" w:sz="4" w:space="0"/>
              <w:right w:val="single" w:color="000000" w:sz="4" w:space="0"/>
            </w:tcBorders>
            <w:vAlign w:val="center"/>
          </w:tcPr>
          <w:p w14:paraId="76103FB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w:t>
            </w:r>
          </w:p>
        </w:tc>
        <w:tc>
          <w:tcPr>
            <w:tcW w:w="420" w:type="dxa"/>
            <w:tcBorders>
              <w:top w:val="nil"/>
              <w:left w:val="nil"/>
              <w:bottom w:val="single" w:color="000000" w:sz="4" w:space="0"/>
              <w:right w:val="single" w:color="000000" w:sz="4" w:space="0"/>
            </w:tcBorders>
            <w:vAlign w:val="center"/>
          </w:tcPr>
          <w:p w14:paraId="6868829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w:t>
            </w:r>
          </w:p>
        </w:tc>
        <w:tc>
          <w:tcPr>
            <w:tcW w:w="2340" w:type="dxa"/>
            <w:tcBorders>
              <w:top w:val="nil"/>
              <w:left w:val="nil"/>
              <w:bottom w:val="single" w:color="000000" w:sz="4" w:space="0"/>
              <w:right w:val="single" w:color="000000" w:sz="4" w:space="0"/>
            </w:tcBorders>
            <w:vAlign w:val="center"/>
          </w:tcPr>
          <w:p w14:paraId="0C67405D">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　</w:t>
            </w:r>
          </w:p>
        </w:tc>
      </w:tr>
      <w:tr w14:paraId="6EF8F7A5">
        <w:tblPrEx>
          <w:tblCellMar>
            <w:top w:w="0" w:type="dxa"/>
            <w:left w:w="108" w:type="dxa"/>
            <w:bottom w:w="0" w:type="dxa"/>
            <w:right w:w="108" w:type="dxa"/>
          </w:tblCellMar>
        </w:tblPrEx>
        <w:trPr>
          <w:trHeight w:val="338" w:hRule="atLeast"/>
        </w:trPr>
        <w:tc>
          <w:tcPr>
            <w:tcW w:w="640" w:type="dxa"/>
            <w:vMerge w:val="continue"/>
            <w:tcBorders>
              <w:top w:val="nil"/>
              <w:left w:val="single" w:color="000000" w:sz="4" w:space="0"/>
              <w:bottom w:val="single" w:color="000000" w:sz="4" w:space="0"/>
              <w:right w:val="single" w:color="000000" w:sz="4" w:space="0"/>
            </w:tcBorders>
            <w:vAlign w:val="center"/>
          </w:tcPr>
          <w:p w14:paraId="2160DAD4">
            <w:pPr>
              <w:widowControl/>
              <w:jc w:val="left"/>
              <w:rPr>
                <w:rFonts w:hint="eastAsia" w:ascii="宋体" w:hAnsi="宋体" w:cs="宋体"/>
                <w:color w:val="000000"/>
                <w:kern w:val="0"/>
                <w:sz w:val="18"/>
                <w:szCs w:val="18"/>
              </w:rPr>
            </w:pPr>
          </w:p>
        </w:tc>
        <w:tc>
          <w:tcPr>
            <w:tcW w:w="1880" w:type="dxa"/>
            <w:tcBorders>
              <w:top w:val="nil"/>
              <w:left w:val="nil"/>
              <w:bottom w:val="single" w:color="000000" w:sz="4" w:space="0"/>
              <w:right w:val="single" w:color="000000" w:sz="4" w:space="0"/>
            </w:tcBorders>
            <w:vAlign w:val="center"/>
          </w:tcPr>
          <w:p w14:paraId="1BB7CD1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满意度指标</w:t>
            </w:r>
          </w:p>
        </w:tc>
        <w:tc>
          <w:tcPr>
            <w:tcW w:w="1620" w:type="dxa"/>
            <w:tcBorders>
              <w:top w:val="nil"/>
              <w:left w:val="nil"/>
              <w:bottom w:val="single" w:color="000000" w:sz="4" w:space="0"/>
              <w:right w:val="single" w:color="000000" w:sz="4" w:space="0"/>
            </w:tcBorders>
            <w:vAlign w:val="center"/>
          </w:tcPr>
          <w:p w14:paraId="754479B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满意度指标</w:t>
            </w:r>
          </w:p>
        </w:tc>
        <w:tc>
          <w:tcPr>
            <w:tcW w:w="2080" w:type="dxa"/>
            <w:tcBorders>
              <w:top w:val="nil"/>
              <w:left w:val="nil"/>
              <w:bottom w:val="single" w:color="000000" w:sz="4" w:space="0"/>
              <w:right w:val="single" w:color="000000" w:sz="4" w:space="0"/>
            </w:tcBorders>
            <w:vAlign w:val="center"/>
          </w:tcPr>
          <w:p w14:paraId="5EFD894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老百姓对影片满意度</w:t>
            </w:r>
          </w:p>
        </w:tc>
        <w:tc>
          <w:tcPr>
            <w:tcW w:w="480" w:type="dxa"/>
            <w:tcBorders>
              <w:top w:val="nil"/>
              <w:left w:val="nil"/>
              <w:bottom w:val="single" w:color="000000" w:sz="4" w:space="0"/>
              <w:right w:val="single" w:color="000000" w:sz="4" w:space="0"/>
            </w:tcBorders>
            <w:vAlign w:val="center"/>
          </w:tcPr>
          <w:p w14:paraId="3F88BDD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1540" w:type="dxa"/>
            <w:tcBorders>
              <w:top w:val="nil"/>
              <w:left w:val="nil"/>
              <w:bottom w:val="single" w:color="000000" w:sz="4" w:space="0"/>
              <w:right w:val="single" w:color="000000" w:sz="4" w:space="0"/>
            </w:tcBorders>
            <w:vAlign w:val="center"/>
          </w:tcPr>
          <w:p w14:paraId="7BE6BDE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90</w:t>
            </w:r>
          </w:p>
        </w:tc>
        <w:tc>
          <w:tcPr>
            <w:tcW w:w="480" w:type="dxa"/>
            <w:tcBorders>
              <w:top w:val="nil"/>
              <w:left w:val="nil"/>
              <w:bottom w:val="single" w:color="000000" w:sz="4" w:space="0"/>
              <w:right w:val="single" w:color="000000" w:sz="4" w:space="0"/>
            </w:tcBorders>
            <w:vAlign w:val="center"/>
          </w:tcPr>
          <w:p w14:paraId="5E107C5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1000" w:type="dxa"/>
            <w:tcBorders>
              <w:top w:val="nil"/>
              <w:left w:val="nil"/>
              <w:bottom w:val="single" w:color="000000" w:sz="4" w:space="0"/>
              <w:right w:val="single" w:color="000000" w:sz="4" w:space="0"/>
            </w:tcBorders>
            <w:vAlign w:val="center"/>
          </w:tcPr>
          <w:p w14:paraId="397E2630">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100%</w:t>
            </w:r>
          </w:p>
        </w:tc>
        <w:tc>
          <w:tcPr>
            <w:tcW w:w="480" w:type="dxa"/>
            <w:tcBorders>
              <w:top w:val="nil"/>
              <w:left w:val="nil"/>
              <w:bottom w:val="single" w:color="000000" w:sz="4" w:space="0"/>
              <w:right w:val="single" w:color="000000" w:sz="4" w:space="0"/>
            </w:tcBorders>
            <w:vAlign w:val="center"/>
          </w:tcPr>
          <w:p w14:paraId="378BD57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420" w:type="dxa"/>
            <w:tcBorders>
              <w:top w:val="nil"/>
              <w:left w:val="nil"/>
              <w:bottom w:val="single" w:color="000000" w:sz="4" w:space="0"/>
              <w:right w:val="single" w:color="000000" w:sz="4" w:space="0"/>
            </w:tcBorders>
            <w:vAlign w:val="center"/>
          </w:tcPr>
          <w:p w14:paraId="0A88B11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2340" w:type="dxa"/>
            <w:tcBorders>
              <w:top w:val="nil"/>
              <w:left w:val="nil"/>
              <w:bottom w:val="single" w:color="000000" w:sz="4" w:space="0"/>
              <w:right w:val="single" w:color="000000" w:sz="4" w:space="0"/>
            </w:tcBorders>
            <w:vAlign w:val="center"/>
          </w:tcPr>
          <w:p w14:paraId="38FD7832">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　</w:t>
            </w:r>
          </w:p>
        </w:tc>
      </w:tr>
      <w:tr w14:paraId="0B42D237">
        <w:tblPrEx>
          <w:tblCellMar>
            <w:top w:w="0" w:type="dxa"/>
            <w:left w:w="108" w:type="dxa"/>
            <w:bottom w:w="0" w:type="dxa"/>
            <w:right w:w="108" w:type="dxa"/>
          </w:tblCellMar>
        </w:tblPrEx>
        <w:trPr>
          <w:trHeight w:val="570" w:hRule="atLeast"/>
        </w:trPr>
        <w:tc>
          <w:tcPr>
            <w:tcW w:w="640" w:type="dxa"/>
            <w:vMerge w:val="continue"/>
            <w:tcBorders>
              <w:top w:val="nil"/>
              <w:left w:val="single" w:color="000000" w:sz="4" w:space="0"/>
              <w:bottom w:val="single" w:color="000000" w:sz="4" w:space="0"/>
              <w:right w:val="single" w:color="000000" w:sz="4" w:space="0"/>
            </w:tcBorders>
            <w:vAlign w:val="center"/>
          </w:tcPr>
          <w:p w14:paraId="60415AD8">
            <w:pPr>
              <w:widowControl/>
              <w:jc w:val="left"/>
              <w:rPr>
                <w:rFonts w:hint="eastAsia" w:ascii="宋体" w:hAnsi="宋体" w:cs="宋体"/>
                <w:color w:val="000000"/>
                <w:kern w:val="0"/>
                <w:sz w:val="18"/>
                <w:szCs w:val="18"/>
              </w:rPr>
            </w:pPr>
          </w:p>
        </w:tc>
        <w:tc>
          <w:tcPr>
            <w:tcW w:w="1880" w:type="dxa"/>
            <w:tcBorders>
              <w:top w:val="nil"/>
              <w:left w:val="nil"/>
              <w:bottom w:val="single" w:color="000000" w:sz="4" w:space="0"/>
              <w:right w:val="single" w:color="000000" w:sz="4" w:space="0"/>
            </w:tcBorders>
            <w:vAlign w:val="center"/>
          </w:tcPr>
          <w:p w14:paraId="4646EB8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成本指标</w:t>
            </w:r>
          </w:p>
        </w:tc>
        <w:tc>
          <w:tcPr>
            <w:tcW w:w="1620" w:type="dxa"/>
            <w:tcBorders>
              <w:top w:val="nil"/>
              <w:left w:val="nil"/>
              <w:bottom w:val="single" w:color="000000" w:sz="4" w:space="0"/>
              <w:right w:val="single" w:color="000000" w:sz="4" w:space="0"/>
            </w:tcBorders>
            <w:vAlign w:val="center"/>
          </w:tcPr>
          <w:p w14:paraId="29C5A84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经济成本指标</w:t>
            </w:r>
          </w:p>
        </w:tc>
        <w:tc>
          <w:tcPr>
            <w:tcW w:w="2080" w:type="dxa"/>
            <w:tcBorders>
              <w:top w:val="nil"/>
              <w:left w:val="nil"/>
              <w:bottom w:val="single" w:color="000000" w:sz="4" w:space="0"/>
              <w:right w:val="single" w:color="000000" w:sz="4" w:space="0"/>
            </w:tcBorders>
            <w:vAlign w:val="center"/>
          </w:tcPr>
          <w:p w14:paraId="1ED6762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控制不超过方案资金预算</w:t>
            </w:r>
          </w:p>
        </w:tc>
        <w:tc>
          <w:tcPr>
            <w:tcW w:w="480" w:type="dxa"/>
            <w:tcBorders>
              <w:top w:val="nil"/>
              <w:left w:val="nil"/>
              <w:bottom w:val="single" w:color="000000" w:sz="4" w:space="0"/>
              <w:right w:val="single" w:color="000000" w:sz="4" w:space="0"/>
            </w:tcBorders>
            <w:vAlign w:val="center"/>
          </w:tcPr>
          <w:p w14:paraId="247F8A6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1540" w:type="dxa"/>
            <w:tcBorders>
              <w:top w:val="nil"/>
              <w:left w:val="nil"/>
              <w:bottom w:val="single" w:color="000000" w:sz="4" w:space="0"/>
              <w:right w:val="single" w:color="000000" w:sz="4" w:space="0"/>
            </w:tcBorders>
            <w:vAlign w:val="center"/>
          </w:tcPr>
          <w:p w14:paraId="4BECD81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17</w:t>
            </w:r>
          </w:p>
        </w:tc>
        <w:tc>
          <w:tcPr>
            <w:tcW w:w="480" w:type="dxa"/>
            <w:tcBorders>
              <w:top w:val="nil"/>
              <w:left w:val="nil"/>
              <w:bottom w:val="single" w:color="000000" w:sz="4" w:space="0"/>
              <w:right w:val="single" w:color="000000" w:sz="4" w:space="0"/>
            </w:tcBorders>
            <w:vAlign w:val="center"/>
          </w:tcPr>
          <w:p w14:paraId="582B12A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w:t>
            </w:r>
          </w:p>
        </w:tc>
        <w:tc>
          <w:tcPr>
            <w:tcW w:w="1000" w:type="dxa"/>
            <w:tcBorders>
              <w:top w:val="nil"/>
              <w:left w:val="nil"/>
              <w:bottom w:val="single" w:color="000000" w:sz="4" w:space="0"/>
              <w:right w:val="single" w:color="000000" w:sz="4" w:space="0"/>
            </w:tcBorders>
            <w:vAlign w:val="center"/>
          </w:tcPr>
          <w:p w14:paraId="07771C6F">
            <w:pPr>
              <w:widowControl/>
              <w:jc w:val="center"/>
              <w:rPr>
                <w:rFonts w:hint="eastAsia" w:ascii="微软雅黑" w:hAnsi="微软雅黑" w:eastAsia="微软雅黑" w:cs="宋体"/>
                <w:i/>
                <w:iCs/>
                <w:color w:val="000000"/>
                <w:kern w:val="0"/>
                <w:sz w:val="16"/>
                <w:szCs w:val="16"/>
              </w:rPr>
            </w:pPr>
            <w:r>
              <w:rPr>
                <w:rFonts w:hint="eastAsia" w:ascii="微软雅黑" w:hAnsi="微软雅黑" w:eastAsia="微软雅黑" w:cs="宋体"/>
                <w:i/>
                <w:iCs/>
                <w:color w:val="000000"/>
                <w:kern w:val="0"/>
                <w:sz w:val="16"/>
                <w:szCs w:val="16"/>
              </w:rPr>
              <w:t>45%</w:t>
            </w:r>
          </w:p>
        </w:tc>
        <w:tc>
          <w:tcPr>
            <w:tcW w:w="480" w:type="dxa"/>
            <w:tcBorders>
              <w:top w:val="nil"/>
              <w:left w:val="nil"/>
              <w:bottom w:val="single" w:color="000000" w:sz="4" w:space="0"/>
              <w:right w:val="single" w:color="000000" w:sz="4" w:space="0"/>
            </w:tcBorders>
            <w:vAlign w:val="center"/>
          </w:tcPr>
          <w:p w14:paraId="7F8A95A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420" w:type="dxa"/>
            <w:tcBorders>
              <w:top w:val="nil"/>
              <w:left w:val="nil"/>
              <w:bottom w:val="single" w:color="000000" w:sz="4" w:space="0"/>
              <w:right w:val="single" w:color="000000" w:sz="4" w:space="0"/>
            </w:tcBorders>
            <w:vAlign w:val="center"/>
          </w:tcPr>
          <w:p w14:paraId="029C24E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2340" w:type="dxa"/>
            <w:tcBorders>
              <w:top w:val="nil"/>
              <w:left w:val="nil"/>
              <w:bottom w:val="single" w:color="000000" w:sz="4" w:space="0"/>
              <w:right w:val="single" w:color="000000" w:sz="4" w:space="0"/>
            </w:tcBorders>
            <w:vAlign w:val="center"/>
          </w:tcPr>
          <w:p w14:paraId="3B3F6CEF">
            <w:pPr>
              <w:widowControl/>
              <w:jc w:val="center"/>
              <w:rPr>
                <w:rFonts w:hint="eastAsia"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下基层现场指导农村公益电影力度不够</w:t>
            </w:r>
          </w:p>
        </w:tc>
      </w:tr>
      <w:tr w14:paraId="1B114537">
        <w:tblPrEx>
          <w:tblCellMar>
            <w:top w:w="0" w:type="dxa"/>
            <w:left w:w="108" w:type="dxa"/>
            <w:bottom w:w="0" w:type="dxa"/>
            <w:right w:w="108" w:type="dxa"/>
          </w:tblCellMar>
        </w:tblPrEx>
        <w:trPr>
          <w:trHeight w:val="285" w:hRule="atLeast"/>
        </w:trPr>
        <w:tc>
          <w:tcPr>
            <w:tcW w:w="9720" w:type="dxa"/>
            <w:gridSpan w:val="8"/>
            <w:tcBorders>
              <w:top w:val="single" w:color="000000" w:sz="4" w:space="0"/>
              <w:left w:val="single" w:color="000000" w:sz="4" w:space="0"/>
              <w:bottom w:val="single" w:color="000000" w:sz="4" w:space="0"/>
              <w:right w:val="single" w:color="000000" w:sz="4" w:space="0"/>
            </w:tcBorders>
            <w:vAlign w:val="center"/>
          </w:tcPr>
          <w:p w14:paraId="1D8733B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合计</w:t>
            </w:r>
          </w:p>
        </w:tc>
        <w:tc>
          <w:tcPr>
            <w:tcW w:w="480" w:type="dxa"/>
            <w:tcBorders>
              <w:top w:val="nil"/>
              <w:left w:val="nil"/>
              <w:bottom w:val="single" w:color="000000" w:sz="4" w:space="0"/>
              <w:right w:val="single" w:color="000000" w:sz="4" w:space="0"/>
            </w:tcBorders>
            <w:vAlign w:val="center"/>
          </w:tcPr>
          <w:p w14:paraId="66D8B67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100</w:t>
            </w:r>
          </w:p>
        </w:tc>
        <w:tc>
          <w:tcPr>
            <w:tcW w:w="420" w:type="dxa"/>
            <w:tcBorders>
              <w:top w:val="nil"/>
              <w:left w:val="nil"/>
              <w:bottom w:val="single" w:color="000000" w:sz="4" w:space="0"/>
              <w:right w:val="single" w:color="000000" w:sz="4" w:space="0"/>
            </w:tcBorders>
            <w:vAlign w:val="center"/>
          </w:tcPr>
          <w:p w14:paraId="22DE0200">
            <w:pPr>
              <w:widowControl/>
              <w:jc w:val="right"/>
              <w:rPr>
                <w:rFonts w:hint="eastAsia" w:ascii="宋体" w:hAnsi="宋体" w:cs="宋体"/>
                <w:color w:val="000000"/>
                <w:kern w:val="0"/>
                <w:sz w:val="18"/>
                <w:szCs w:val="18"/>
              </w:rPr>
            </w:pPr>
            <w:r>
              <w:rPr>
                <w:rFonts w:hint="eastAsia" w:ascii="宋体" w:hAnsi="宋体" w:cs="宋体"/>
                <w:color w:val="000000"/>
                <w:kern w:val="0"/>
                <w:sz w:val="18"/>
                <w:szCs w:val="18"/>
              </w:rPr>
              <w:t>90</w:t>
            </w:r>
          </w:p>
        </w:tc>
        <w:tc>
          <w:tcPr>
            <w:tcW w:w="2340" w:type="dxa"/>
            <w:tcBorders>
              <w:top w:val="nil"/>
              <w:left w:val="nil"/>
              <w:bottom w:val="single" w:color="000000" w:sz="4" w:space="0"/>
              <w:right w:val="single" w:color="000000" w:sz="4" w:space="0"/>
            </w:tcBorders>
            <w:vAlign w:val="center"/>
          </w:tcPr>
          <w:p w14:paraId="39FF8800">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459295ED">
        <w:tblPrEx>
          <w:tblCellMar>
            <w:top w:w="0" w:type="dxa"/>
            <w:left w:w="108" w:type="dxa"/>
            <w:bottom w:w="0" w:type="dxa"/>
            <w:right w:w="108" w:type="dxa"/>
          </w:tblCellMar>
        </w:tblPrEx>
        <w:trPr>
          <w:trHeight w:val="605" w:hRule="atLeast"/>
        </w:trPr>
        <w:tc>
          <w:tcPr>
            <w:tcW w:w="640" w:type="dxa"/>
            <w:tcBorders>
              <w:top w:val="nil"/>
              <w:left w:val="single" w:color="000000" w:sz="4" w:space="0"/>
              <w:bottom w:val="single" w:color="000000" w:sz="4" w:space="0"/>
              <w:right w:val="single" w:color="000000" w:sz="4" w:space="0"/>
            </w:tcBorders>
            <w:vAlign w:val="center"/>
          </w:tcPr>
          <w:p w14:paraId="009900F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评价结论</w:t>
            </w:r>
          </w:p>
        </w:tc>
        <w:tc>
          <w:tcPr>
            <w:tcW w:w="12320" w:type="dxa"/>
            <w:gridSpan w:val="10"/>
            <w:tcBorders>
              <w:top w:val="single" w:color="000000" w:sz="4" w:space="0"/>
              <w:left w:val="nil"/>
              <w:bottom w:val="single" w:color="000000" w:sz="4" w:space="0"/>
              <w:right w:val="single" w:color="000000" w:sz="4" w:space="0"/>
            </w:tcBorders>
            <w:vAlign w:val="center"/>
          </w:tcPr>
          <w:p w14:paraId="08C696C4">
            <w:pPr>
              <w:widowControl/>
              <w:jc w:val="left"/>
              <w:rPr>
                <w:rFonts w:hint="eastAsia"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根据项目支出绩效评价指标规定的内容\自评,2024年度部门整体整体绩效得分90分</w:t>
            </w:r>
          </w:p>
        </w:tc>
      </w:tr>
      <w:tr w14:paraId="2090FB7A">
        <w:tblPrEx>
          <w:tblCellMar>
            <w:top w:w="0" w:type="dxa"/>
            <w:left w:w="108" w:type="dxa"/>
            <w:bottom w:w="0" w:type="dxa"/>
            <w:right w:w="108" w:type="dxa"/>
          </w:tblCellMar>
        </w:tblPrEx>
        <w:trPr>
          <w:trHeight w:val="575" w:hRule="atLeast"/>
        </w:trPr>
        <w:tc>
          <w:tcPr>
            <w:tcW w:w="640" w:type="dxa"/>
            <w:tcBorders>
              <w:top w:val="nil"/>
              <w:left w:val="single" w:color="000000" w:sz="4" w:space="0"/>
              <w:bottom w:val="single" w:color="000000" w:sz="4" w:space="0"/>
              <w:right w:val="single" w:color="000000" w:sz="4" w:space="0"/>
            </w:tcBorders>
            <w:vAlign w:val="center"/>
          </w:tcPr>
          <w:p w14:paraId="238E775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存在问题</w:t>
            </w:r>
          </w:p>
        </w:tc>
        <w:tc>
          <w:tcPr>
            <w:tcW w:w="12320" w:type="dxa"/>
            <w:gridSpan w:val="10"/>
            <w:tcBorders>
              <w:top w:val="single" w:color="000000" w:sz="4" w:space="0"/>
              <w:left w:val="nil"/>
              <w:bottom w:val="single" w:color="000000" w:sz="4" w:space="0"/>
              <w:right w:val="single" w:color="000000" w:sz="4" w:space="0"/>
            </w:tcBorders>
            <w:vAlign w:val="center"/>
          </w:tcPr>
          <w:p w14:paraId="2B84CBF3">
            <w:pPr>
              <w:widowControl/>
              <w:jc w:val="left"/>
              <w:rPr>
                <w:rFonts w:hint="eastAsia"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下基层现场指导农村公益电影和城市影院力度不够</w:t>
            </w:r>
          </w:p>
        </w:tc>
      </w:tr>
      <w:tr w14:paraId="6CC3C694">
        <w:tblPrEx>
          <w:tblCellMar>
            <w:top w:w="0" w:type="dxa"/>
            <w:left w:w="108" w:type="dxa"/>
            <w:bottom w:w="0" w:type="dxa"/>
            <w:right w:w="108" w:type="dxa"/>
          </w:tblCellMar>
        </w:tblPrEx>
        <w:trPr>
          <w:trHeight w:val="635" w:hRule="atLeast"/>
        </w:trPr>
        <w:tc>
          <w:tcPr>
            <w:tcW w:w="640" w:type="dxa"/>
            <w:tcBorders>
              <w:top w:val="nil"/>
              <w:left w:val="single" w:color="000000" w:sz="4" w:space="0"/>
              <w:bottom w:val="single" w:color="000000" w:sz="4" w:space="0"/>
              <w:right w:val="single" w:color="000000" w:sz="4" w:space="0"/>
            </w:tcBorders>
            <w:vAlign w:val="center"/>
          </w:tcPr>
          <w:p w14:paraId="750C34C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改进措施</w:t>
            </w:r>
          </w:p>
        </w:tc>
        <w:tc>
          <w:tcPr>
            <w:tcW w:w="12320" w:type="dxa"/>
            <w:gridSpan w:val="10"/>
            <w:tcBorders>
              <w:top w:val="single" w:color="000000" w:sz="4" w:space="0"/>
              <w:left w:val="nil"/>
              <w:bottom w:val="single" w:color="000000" w:sz="4" w:space="0"/>
              <w:right w:val="single" w:color="000000" w:sz="4" w:space="0"/>
            </w:tcBorders>
            <w:vAlign w:val="center"/>
          </w:tcPr>
          <w:p w14:paraId="7050F494">
            <w:pPr>
              <w:widowControl/>
              <w:jc w:val="left"/>
              <w:rPr>
                <w:rFonts w:hint="eastAsia"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开展设备巡检,现场培训指导,确保基层放映工作顺利开展.</w:t>
            </w:r>
          </w:p>
        </w:tc>
      </w:tr>
      <w:tr w14:paraId="1A6BC063">
        <w:tblPrEx>
          <w:tblCellMar>
            <w:top w:w="0" w:type="dxa"/>
            <w:left w:w="108" w:type="dxa"/>
            <w:bottom w:w="0" w:type="dxa"/>
            <w:right w:w="108" w:type="dxa"/>
          </w:tblCellMar>
        </w:tblPrEx>
        <w:trPr>
          <w:trHeight w:val="285" w:hRule="atLeast"/>
        </w:trPr>
        <w:tc>
          <w:tcPr>
            <w:tcW w:w="6700" w:type="dxa"/>
            <w:gridSpan w:val="5"/>
            <w:tcBorders>
              <w:top w:val="single" w:color="000000" w:sz="4" w:space="0"/>
              <w:left w:val="single" w:color="000000" w:sz="4" w:space="0"/>
              <w:bottom w:val="single" w:color="000000" w:sz="4" w:space="0"/>
              <w:right w:val="single" w:color="000000" w:sz="4" w:space="0"/>
            </w:tcBorders>
            <w:vAlign w:val="center"/>
          </w:tcPr>
          <w:p w14:paraId="2DA5FC80">
            <w:pPr>
              <w:widowControl/>
              <w:jc w:val="left"/>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项目负责人：曹晓华</w:t>
            </w:r>
          </w:p>
        </w:tc>
        <w:tc>
          <w:tcPr>
            <w:tcW w:w="6260" w:type="dxa"/>
            <w:gridSpan w:val="6"/>
            <w:tcBorders>
              <w:top w:val="single" w:color="000000" w:sz="4" w:space="0"/>
              <w:left w:val="nil"/>
              <w:bottom w:val="single" w:color="000000" w:sz="4" w:space="0"/>
              <w:right w:val="single" w:color="000000" w:sz="4" w:space="0"/>
            </w:tcBorders>
            <w:vAlign w:val="center"/>
          </w:tcPr>
          <w:p w14:paraId="53D48128">
            <w:pPr>
              <w:widowControl/>
              <w:jc w:val="left"/>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财务负责人：塔尔洁</w:t>
            </w:r>
          </w:p>
        </w:tc>
      </w:tr>
    </w:tbl>
    <w:p w14:paraId="26E72C39">
      <w:pPr>
        <w:pStyle w:val="3"/>
        <w:ind w:left="0" w:leftChars="0" w:firstLine="0" w:firstLineChars="0"/>
      </w:pPr>
      <w:r>
        <w:pict>
          <v:shape id="_x0000_s1028" o:spid="_x0000_s1028" o:spt="75" type="#_x0000_t75" style="position:absolute;left:0pt;margin-left:0pt;margin-top:-0.45pt;height:416.45pt;width:757pt;mso-wrap-distance-bottom:0pt;mso-wrap-distance-left:9pt;mso-wrap-distance-right:9pt;mso-wrap-distance-top:0pt;z-index:251666432;mso-width-relative:page;mso-height-relative:page;" o:ole="t" filled="f" o:preferrelative="t" stroked="f" coordsize="21600,21600">
            <v:path/>
            <v:fill on="f" focussize="0,0"/>
            <v:stroke on="f" joinstyle="miter"/>
            <v:imagedata r:id="rId24" o:title=""/>
            <o:lock v:ext="edit" aspectratio="f"/>
            <w10:wrap type="square"/>
          </v:shape>
          <o:OLEObject Type="Embed" ProgID="Excel.Sheet.12" ShapeID="_x0000_s1028" DrawAspect="Content" ObjectID="_1468075727" r:id="rId23">
            <o:LockedField>false</o:LockedField>
          </o:OLEObject>
        </w:pict>
      </w:r>
    </w:p>
    <w:p w14:paraId="0D9852C3">
      <w:pPr>
        <w:pStyle w:val="3"/>
        <w:ind w:left="0" w:leftChars="0" w:firstLine="0" w:firstLineChars="0"/>
        <w:sectPr>
          <w:pgSz w:w="16838" w:h="11906" w:orient="landscape"/>
          <w:pgMar w:top="1417" w:right="1440" w:bottom="1417" w:left="1440" w:header="851" w:footer="992" w:gutter="0"/>
          <w:cols w:space="0" w:num="1"/>
          <w:titlePg/>
          <w:docGrid w:type="lines" w:linePitch="312" w:charSpace="0"/>
        </w:sectPr>
      </w:pPr>
    </w:p>
    <w:p w14:paraId="03979AEB">
      <w:pPr>
        <w:widowControl/>
        <w:ind w:firstLine="2200" w:firstLineChars="500"/>
        <w:rPr>
          <w:rFonts w:eastAsia="仿宋_GB2312" w:cs="仿宋_GB2312"/>
          <w:sz w:val="32"/>
          <w:szCs w:val="32"/>
        </w:rPr>
      </w:pPr>
      <w:bookmarkStart w:id="42" w:name="_Toc15396618"/>
      <w:r>
        <w:rPr>
          <w:rFonts w:hint="eastAsia" w:eastAsia="黑体"/>
          <w:sz w:val="44"/>
          <w:szCs w:val="44"/>
        </w:rPr>
        <w:t>第</w:t>
      </w:r>
      <w:r>
        <w:rPr>
          <w:rStyle w:val="28"/>
          <w:rFonts w:hint="eastAsia" w:eastAsia="黑体"/>
          <w:b w:val="0"/>
        </w:rPr>
        <w:t>五部分 附表</w:t>
      </w:r>
      <w:bookmarkEnd w:id="39"/>
      <w:bookmarkEnd w:id="42"/>
      <w:bookmarkStart w:id="43" w:name="_Toc15396619"/>
    </w:p>
    <w:p w14:paraId="6A1ED906">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3"/>
    </w:p>
    <w:p w14:paraId="3C78A91A">
      <w:pPr>
        <w:pStyle w:val="14"/>
        <w:adjustRightInd w:val="0"/>
        <w:snapToGrid w:val="0"/>
        <w:spacing w:line="560" w:lineRule="exact"/>
        <w:jc w:val="left"/>
        <w:rPr>
          <w:rFonts w:eastAsia="仿宋_GB2312" w:cs="仿宋_GB2312"/>
          <w:sz w:val="32"/>
          <w:szCs w:val="32"/>
        </w:rPr>
      </w:pPr>
      <w:bookmarkStart w:id="44" w:name="_Toc15396620"/>
      <w:r>
        <w:rPr>
          <w:rFonts w:hint="eastAsia" w:eastAsia="仿宋_GB2312" w:cs="仿宋_GB2312"/>
          <w:sz w:val="32"/>
          <w:szCs w:val="32"/>
        </w:rPr>
        <w:t>二、收入决算表</w:t>
      </w:r>
      <w:bookmarkEnd w:id="44"/>
    </w:p>
    <w:p w14:paraId="7BFC0FD3">
      <w:pPr>
        <w:pStyle w:val="14"/>
        <w:adjustRightInd w:val="0"/>
        <w:snapToGrid w:val="0"/>
        <w:spacing w:line="560" w:lineRule="exact"/>
        <w:jc w:val="left"/>
        <w:rPr>
          <w:rFonts w:eastAsia="仿宋_GB2312" w:cs="仿宋_GB2312"/>
          <w:sz w:val="32"/>
          <w:szCs w:val="32"/>
        </w:rPr>
      </w:pPr>
      <w:bookmarkStart w:id="45" w:name="_Toc15396621"/>
      <w:r>
        <w:rPr>
          <w:rFonts w:hint="eastAsia" w:eastAsia="仿宋_GB2312" w:cs="仿宋_GB2312"/>
          <w:sz w:val="32"/>
          <w:szCs w:val="32"/>
        </w:rPr>
        <w:t>三、支出决算表</w:t>
      </w:r>
      <w:bookmarkEnd w:id="45"/>
    </w:p>
    <w:p w14:paraId="0FF81980">
      <w:pPr>
        <w:pStyle w:val="14"/>
        <w:adjustRightInd w:val="0"/>
        <w:snapToGrid w:val="0"/>
        <w:spacing w:line="560" w:lineRule="exact"/>
        <w:jc w:val="left"/>
        <w:rPr>
          <w:rFonts w:eastAsia="仿宋_GB2312" w:cs="仿宋_GB2312"/>
          <w:sz w:val="32"/>
          <w:szCs w:val="32"/>
        </w:rPr>
      </w:pPr>
      <w:bookmarkStart w:id="46" w:name="_Toc15396622"/>
      <w:r>
        <w:rPr>
          <w:rFonts w:hint="eastAsia" w:eastAsia="仿宋_GB2312" w:cs="仿宋_GB2312"/>
          <w:sz w:val="32"/>
          <w:szCs w:val="32"/>
        </w:rPr>
        <w:t>四、财政拨款收入支出决算总表</w:t>
      </w:r>
      <w:bookmarkEnd w:id="46"/>
    </w:p>
    <w:p w14:paraId="3BF7031D">
      <w:pPr>
        <w:pStyle w:val="14"/>
        <w:adjustRightInd w:val="0"/>
        <w:snapToGrid w:val="0"/>
        <w:spacing w:line="560" w:lineRule="exact"/>
        <w:jc w:val="left"/>
        <w:rPr>
          <w:rFonts w:eastAsia="仿宋_GB2312" w:cs="仿宋_GB2312"/>
          <w:sz w:val="32"/>
          <w:szCs w:val="32"/>
        </w:rPr>
      </w:pPr>
      <w:bookmarkStart w:id="47" w:name="_Toc15396623"/>
      <w:r>
        <w:rPr>
          <w:rFonts w:hint="eastAsia" w:eastAsia="仿宋_GB2312" w:cs="仿宋_GB2312"/>
          <w:sz w:val="32"/>
          <w:szCs w:val="32"/>
        </w:rPr>
        <w:t>五、财政拨款支出决算明细表</w:t>
      </w:r>
      <w:bookmarkEnd w:id="47"/>
      <w:bookmarkStart w:id="48" w:name="_Toc15396624"/>
    </w:p>
    <w:p w14:paraId="0E3F518B">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48"/>
    </w:p>
    <w:p w14:paraId="2E280B74">
      <w:pPr>
        <w:pStyle w:val="14"/>
        <w:adjustRightInd w:val="0"/>
        <w:snapToGrid w:val="0"/>
        <w:spacing w:line="560" w:lineRule="exact"/>
        <w:jc w:val="left"/>
        <w:rPr>
          <w:rFonts w:eastAsia="仿宋_GB2312" w:cs="仿宋_GB2312"/>
          <w:sz w:val="32"/>
          <w:szCs w:val="32"/>
        </w:rPr>
      </w:pPr>
      <w:bookmarkStart w:id="49" w:name="_Toc15396625"/>
      <w:r>
        <w:rPr>
          <w:rFonts w:hint="eastAsia" w:eastAsia="仿宋_GB2312" w:cs="仿宋_GB2312"/>
          <w:sz w:val="32"/>
          <w:szCs w:val="32"/>
        </w:rPr>
        <w:t>七、一般公共预算财政拨款支出决算明细表</w:t>
      </w:r>
      <w:bookmarkEnd w:id="49"/>
    </w:p>
    <w:p w14:paraId="514C1F55">
      <w:pPr>
        <w:pStyle w:val="14"/>
        <w:adjustRightInd w:val="0"/>
        <w:snapToGrid w:val="0"/>
        <w:spacing w:line="560" w:lineRule="exact"/>
        <w:jc w:val="left"/>
        <w:rPr>
          <w:rFonts w:eastAsia="仿宋_GB2312" w:cs="仿宋_GB2312"/>
          <w:sz w:val="32"/>
          <w:szCs w:val="32"/>
        </w:rPr>
      </w:pPr>
      <w:bookmarkStart w:id="50" w:name="_Toc15396626"/>
      <w:r>
        <w:rPr>
          <w:rFonts w:hint="eastAsia" w:eastAsia="仿宋_GB2312" w:cs="仿宋_GB2312"/>
          <w:sz w:val="32"/>
          <w:szCs w:val="32"/>
        </w:rPr>
        <w:t>八、一般公共预算财政拨款基本支出决算表</w:t>
      </w:r>
      <w:bookmarkEnd w:id="50"/>
    </w:p>
    <w:p w14:paraId="705AD093">
      <w:pPr>
        <w:pStyle w:val="14"/>
        <w:adjustRightInd w:val="0"/>
        <w:snapToGrid w:val="0"/>
        <w:spacing w:line="560" w:lineRule="exact"/>
        <w:jc w:val="left"/>
        <w:rPr>
          <w:rFonts w:eastAsia="仿宋_GB2312" w:cs="仿宋_GB2312"/>
          <w:sz w:val="32"/>
          <w:szCs w:val="32"/>
        </w:rPr>
      </w:pPr>
      <w:bookmarkStart w:id="51" w:name="_Toc15396627"/>
      <w:r>
        <w:rPr>
          <w:rFonts w:hint="eastAsia" w:eastAsia="仿宋_GB2312" w:cs="仿宋_GB2312"/>
          <w:sz w:val="32"/>
          <w:szCs w:val="32"/>
        </w:rPr>
        <w:t>九、一般公共预算财政拨款项目支出决算表</w:t>
      </w:r>
      <w:bookmarkEnd w:id="51"/>
    </w:p>
    <w:p w14:paraId="6700894B">
      <w:pPr>
        <w:pStyle w:val="14"/>
        <w:adjustRightInd w:val="0"/>
        <w:snapToGrid w:val="0"/>
        <w:spacing w:line="560" w:lineRule="exact"/>
        <w:jc w:val="left"/>
        <w:rPr>
          <w:rFonts w:eastAsia="仿宋_GB2312" w:cs="仿宋_GB2312"/>
          <w:sz w:val="32"/>
          <w:szCs w:val="32"/>
        </w:rPr>
      </w:pPr>
      <w:bookmarkStart w:id="52" w:name="_Toc15396628"/>
      <w:r>
        <w:rPr>
          <w:rFonts w:hint="eastAsia" w:eastAsia="仿宋_GB2312" w:cs="仿宋_GB2312"/>
          <w:sz w:val="32"/>
          <w:szCs w:val="32"/>
        </w:rPr>
        <w:t>十、</w:t>
      </w:r>
      <w:bookmarkEnd w:id="52"/>
      <w:r>
        <w:rPr>
          <w:rFonts w:hint="eastAsia" w:eastAsia="仿宋_GB2312" w:cs="仿宋_GB2312"/>
          <w:sz w:val="32"/>
          <w:szCs w:val="32"/>
        </w:rPr>
        <w:t>政府性基金预算财政拨款收入支出决算表</w:t>
      </w:r>
    </w:p>
    <w:p w14:paraId="1A9FDFAF">
      <w:pPr>
        <w:pStyle w:val="14"/>
        <w:adjustRightInd w:val="0"/>
        <w:snapToGrid w:val="0"/>
        <w:spacing w:line="560" w:lineRule="exact"/>
        <w:jc w:val="left"/>
        <w:rPr>
          <w:rFonts w:eastAsia="仿宋_GB2312" w:cs="仿宋_GB2312"/>
          <w:sz w:val="32"/>
          <w:szCs w:val="32"/>
        </w:rPr>
      </w:pPr>
      <w:bookmarkStart w:id="53" w:name="_Toc15396629"/>
      <w:r>
        <w:rPr>
          <w:rFonts w:hint="eastAsia" w:eastAsia="仿宋_GB2312" w:cs="仿宋_GB2312"/>
          <w:sz w:val="32"/>
          <w:szCs w:val="32"/>
        </w:rPr>
        <w:t>十一、</w:t>
      </w:r>
      <w:bookmarkEnd w:id="53"/>
      <w:r>
        <w:rPr>
          <w:rFonts w:hint="eastAsia" w:eastAsia="仿宋_GB2312" w:cs="仿宋_GB2312"/>
          <w:sz w:val="32"/>
          <w:szCs w:val="32"/>
        </w:rPr>
        <w:t>国有资本经营预算财政拨款收入支出决算表</w:t>
      </w:r>
    </w:p>
    <w:p w14:paraId="02550376">
      <w:pPr>
        <w:pStyle w:val="14"/>
        <w:adjustRightInd w:val="0"/>
        <w:snapToGrid w:val="0"/>
        <w:spacing w:line="560" w:lineRule="exact"/>
        <w:jc w:val="left"/>
        <w:rPr>
          <w:rFonts w:eastAsia="仿宋_GB2312" w:cs="仿宋_GB2312"/>
          <w:sz w:val="32"/>
          <w:szCs w:val="32"/>
        </w:rPr>
      </w:pPr>
      <w:bookmarkStart w:id="54" w:name="_Toc15396630"/>
      <w:r>
        <w:rPr>
          <w:rFonts w:hint="eastAsia" w:eastAsia="仿宋_GB2312" w:cs="仿宋_GB2312"/>
          <w:sz w:val="32"/>
          <w:szCs w:val="32"/>
        </w:rPr>
        <w:t>十二、</w:t>
      </w:r>
      <w:bookmarkEnd w:id="54"/>
      <w:r>
        <w:rPr>
          <w:rFonts w:hint="eastAsia" w:eastAsia="仿宋_GB2312" w:cs="仿宋_GB2312"/>
          <w:sz w:val="32"/>
          <w:szCs w:val="32"/>
        </w:rPr>
        <w:t>国有资本经营预算财政拨款支出决算表</w:t>
      </w:r>
    </w:p>
    <w:p w14:paraId="127272E7">
      <w:pPr>
        <w:pStyle w:val="14"/>
        <w:adjustRightInd w:val="0"/>
        <w:snapToGrid w:val="0"/>
        <w:spacing w:line="560" w:lineRule="exact"/>
        <w:jc w:val="left"/>
        <w:rPr>
          <w:rFonts w:eastAsia="仿宋_GB2312" w:cs="仿宋_GB2312"/>
          <w:sz w:val="32"/>
          <w:szCs w:val="32"/>
        </w:rPr>
      </w:pPr>
      <w:bookmarkStart w:id="55" w:name="_Toc15396631"/>
      <w:r>
        <w:rPr>
          <w:rFonts w:hint="eastAsia" w:eastAsia="仿宋_GB2312" w:cs="仿宋_GB2312"/>
          <w:sz w:val="32"/>
          <w:szCs w:val="32"/>
        </w:rPr>
        <w:t>十三、</w:t>
      </w:r>
      <w:bookmarkEnd w:id="55"/>
      <w:r>
        <w:rPr>
          <w:rFonts w:hint="eastAsia" w:eastAsia="仿宋_GB2312" w:cs="仿宋_GB2312"/>
          <w:sz w:val="32"/>
          <w:szCs w:val="32"/>
        </w:rPr>
        <w:t>财政拨款“三公”经费支出决算表</w:t>
      </w:r>
    </w:p>
    <w:p w14:paraId="4BAEC1C4"/>
    <w:sectPr>
      <w:pgSz w:w="11906" w:h="16838"/>
      <w:pgMar w:top="2098" w:right="1531" w:bottom="1984"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_GBK">
    <w:altName w:val="微软雅黑"/>
    <w:panose1 w:val="00000000000000000000"/>
    <w:charset w:val="86"/>
    <w:family w:val="auto"/>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8E089">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1700">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42EF2">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59D81">
    <w:pPr>
      <w:pStyle w:val="11"/>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98E1B">
                          <w:pPr>
                            <w:pStyle w:val="11"/>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0898E1B">
                    <w:pPr>
                      <w:pStyle w:val="11"/>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r>
                      <w:rPr>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8AE36">
    <w:pPr>
      <w:pStyle w:val="11"/>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A1ED4">
                          <w:pPr>
                            <w:pStyle w:val="11"/>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C4A1ED4">
                    <w:pPr>
                      <w:pStyle w:val="11"/>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4F7E1">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C64D4">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A06C0">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582445"/>
    <w:multiLevelType w:val="multilevel"/>
    <w:tmpl w:val="3D582445"/>
    <w:lvl w:ilvl="0" w:tentative="0">
      <w:start w:val="1"/>
      <w:numFmt w:val="japaneseCounting"/>
      <w:lvlText w:val="%1、"/>
      <w:lvlJc w:val="left"/>
      <w:pPr>
        <w:ind w:left="1300" w:hanging="6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47C3C7D6"/>
    <w:multiLevelType w:val="singleLevel"/>
    <w:tmpl w:val="47C3C7D6"/>
    <w:lvl w:ilvl="0" w:tentative="0">
      <w:start w:val="7"/>
      <w:numFmt w:val="chineseCounting"/>
      <w:suff w:val="nothing"/>
      <w:lvlText w:val="%1、"/>
      <w:lvlJc w:val="left"/>
      <w:rPr>
        <w:rFonts w:hint="eastAsia"/>
      </w:rPr>
    </w:lvl>
  </w:abstractNum>
  <w:abstractNum w:abstractNumId="2">
    <w:nsid w:val="7A044C9D"/>
    <w:multiLevelType w:val="multilevel"/>
    <w:tmpl w:val="7A044C9D"/>
    <w:lvl w:ilvl="0" w:tentative="0">
      <w:start w:val="1"/>
      <w:numFmt w:val="japaneseCounting"/>
      <w:lvlText w:val="%1、"/>
      <w:lvlJc w:val="left"/>
      <w:pPr>
        <w:ind w:left="1470" w:hanging="63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mMWNmOTdmMDRlMjcwMmExMDI5NDU2MDhiMmViMGIifQ=="/>
  </w:docVars>
  <w:rsids>
    <w:rsidRoot w:val="00F1361C"/>
    <w:rsid w:val="0001192B"/>
    <w:rsid w:val="00011A1F"/>
    <w:rsid w:val="000222C6"/>
    <w:rsid w:val="0002549F"/>
    <w:rsid w:val="00031A41"/>
    <w:rsid w:val="000468DB"/>
    <w:rsid w:val="0006487A"/>
    <w:rsid w:val="00065F8F"/>
    <w:rsid w:val="00070A43"/>
    <w:rsid w:val="0007143C"/>
    <w:rsid w:val="000768F2"/>
    <w:rsid w:val="00080D3F"/>
    <w:rsid w:val="0009184B"/>
    <w:rsid w:val="00094236"/>
    <w:rsid w:val="0009593C"/>
    <w:rsid w:val="00096E0B"/>
    <w:rsid w:val="00097322"/>
    <w:rsid w:val="000A6A92"/>
    <w:rsid w:val="000B047F"/>
    <w:rsid w:val="000B0FFA"/>
    <w:rsid w:val="000B5923"/>
    <w:rsid w:val="000B5A48"/>
    <w:rsid w:val="000B6FF3"/>
    <w:rsid w:val="000C3467"/>
    <w:rsid w:val="000C3CA6"/>
    <w:rsid w:val="000D1267"/>
    <w:rsid w:val="000D1D50"/>
    <w:rsid w:val="000D5782"/>
    <w:rsid w:val="000D7C99"/>
    <w:rsid w:val="000E6613"/>
    <w:rsid w:val="000E7119"/>
    <w:rsid w:val="00114E9B"/>
    <w:rsid w:val="00142216"/>
    <w:rsid w:val="00144D6A"/>
    <w:rsid w:val="0014729F"/>
    <w:rsid w:val="00157BAB"/>
    <w:rsid w:val="001654D1"/>
    <w:rsid w:val="00174518"/>
    <w:rsid w:val="0018106D"/>
    <w:rsid w:val="001877A7"/>
    <w:rsid w:val="00191536"/>
    <w:rsid w:val="00193AE8"/>
    <w:rsid w:val="00196687"/>
    <w:rsid w:val="001C0962"/>
    <w:rsid w:val="001C2F5F"/>
    <w:rsid w:val="001D7531"/>
    <w:rsid w:val="001E2A04"/>
    <w:rsid w:val="001E737D"/>
    <w:rsid w:val="001F0592"/>
    <w:rsid w:val="001F7506"/>
    <w:rsid w:val="002006CD"/>
    <w:rsid w:val="00202B36"/>
    <w:rsid w:val="002033C4"/>
    <w:rsid w:val="00204B7A"/>
    <w:rsid w:val="00204CDE"/>
    <w:rsid w:val="0020784C"/>
    <w:rsid w:val="0021101A"/>
    <w:rsid w:val="00220536"/>
    <w:rsid w:val="00220776"/>
    <w:rsid w:val="0022598F"/>
    <w:rsid w:val="00235629"/>
    <w:rsid w:val="00236B41"/>
    <w:rsid w:val="0025233A"/>
    <w:rsid w:val="00253E44"/>
    <w:rsid w:val="00260C38"/>
    <w:rsid w:val="002616C0"/>
    <w:rsid w:val="00265372"/>
    <w:rsid w:val="002662AA"/>
    <w:rsid w:val="002735E2"/>
    <w:rsid w:val="00280496"/>
    <w:rsid w:val="0028134B"/>
    <w:rsid w:val="0028138C"/>
    <w:rsid w:val="00294DC9"/>
    <w:rsid w:val="00295495"/>
    <w:rsid w:val="002A31DE"/>
    <w:rsid w:val="002B2613"/>
    <w:rsid w:val="002B6295"/>
    <w:rsid w:val="002D6D05"/>
    <w:rsid w:val="002E2880"/>
    <w:rsid w:val="002F1818"/>
    <w:rsid w:val="002F410A"/>
    <w:rsid w:val="002F567B"/>
    <w:rsid w:val="00317D24"/>
    <w:rsid w:val="003216A9"/>
    <w:rsid w:val="00335A74"/>
    <w:rsid w:val="00340A10"/>
    <w:rsid w:val="00356F36"/>
    <w:rsid w:val="0036346E"/>
    <w:rsid w:val="0036561B"/>
    <w:rsid w:val="0037013F"/>
    <w:rsid w:val="00380C92"/>
    <w:rsid w:val="00391401"/>
    <w:rsid w:val="00391D43"/>
    <w:rsid w:val="003A484F"/>
    <w:rsid w:val="003A4883"/>
    <w:rsid w:val="003B0BE0"/>
    <w:rsid w:val="003B0C1B"/>
    <w:rsid w:val="003B1D59"/>
    <w:rsid w:val="003B6373"/>
    <w:rsid w:val="003B688C"/>
    <w:rsid w:val="003C0291"/>
    <w:rsid w:val="003C39AE"/>
    <w:rsid w:val="003C7B60"/>
    <w:rsid w:val="003D0C0F"/>
    <w:rsid w:val="003D1FB2"/>
    <w:rsid w:val="003D66DA"/>
    <w:rsid w:val="003E1310"/>
    <w:rsid w:val="003E6F55"/>
    <w:rsid w:val="00406254"/>
    <w:rsid w:val="00411403"/>
    <w:rsid w:val="004223DE"/>
    <w:rsid w:val="00422CF1"/>
    <w:rsid w:val="00434489"/>
    <w:rsid w:val="00437085"/>
    <w:rsid w:val="00443880"/>
    <w:rsid w:val="00444C80"/>
    <w:rsid w:val="004464F4"/>
    <w:rsid w:val="00461CB4"/>
    <w:rsid w:val="00471401"/>
    <w:rsid w:val="00473F31"/>
    <w:rsid w:val="0048263A"/>
    <w:rsid w:val="00487E5D"/>
    <w:rsid w:val="004A41AD"/>
    <w:rsid w:val="004A711F"/>
    <w:rsid w:val="004B199D"/>
    <w:rsid w:val="004B4690"/>
    <w:rsid w:val="004E0A2D"/>
    <w:rsid w:val="004E206B"/>
    <w:rsid w:val="004E4696"/>
    <w:rsid w:val="004E6DF7"/>
    <w:rsid w:val="004F0FBD"/>
    <w:rsid w:val="004F7824"/>
    <w:rsid w:val="00505A47"/>
    <w:rsid w:val="00512BF6"/>
    <w:rsid w:val="00512FDA"/>
    <w:rsid w:val="0051783A"/>
    <w:rsid w:val="00517E4E"/>
    <w:rsid w:val="00520DA0"/>
    <w:rsid w:val="005352F5"/>
    <w:rsid w:val="005664BB"/>
    <w:rsid w:val="00566FFA"/>
    <w:rsid w:val="0057481D"/>
    <w:rsid w:val="00581667"/>
    <w:rsid w:val="0058486E"/>
    <w:rsid w:val="00585B33"/>
    <w:rsid w:val="0059014D"/>
    <w:rsid w:val="005A7DD3"/>
    <w:rsid w:val="005B5C64"/>
    <w:rsid w:val="005C5337"/>
    <w:rsid w:val="005C6BD0"/>
    <w:rsid w:val="005D1AAC"/>
    <w:rsid w:val="005D1C8B"/>
    <w:rsid w:val="005D468D"/>
    <w:rsid w:val="005D5CED"/>
    <w:rsid w:val="005F1A4C"/>
    <w:rsid w:val="00605688"/>
    <w:rsid w:val="006070AF"/>
    <w:rsid w:val="00607E6C"/>
    <w:rsid w:val="006101B1"/>
    <w:rsid w:val="00614E44"/>
    <w:rsid w:val="00617388"/>
    <w:rsid w:val="0062270A"/>
    <w:rsid w:val="00622830"/>
    <w:rsid w:val="00623DA0"/>
    <w:rsid w:val="00630AEF"/>
    <w:rsid w:val="006325F8"/>
    <w:rsid w:val="00633463"/>
    <w:rsid w:val="00633A5A"/>
    <w:rsid w:val="0063466B"/>
    <w:rsid w:val="00634C9A"/>
    <w:rsid w:val="006440E4"/>
    <w:rsid w:val="00647C74"/>
    <w:rsid w:val="0065624E"/>
    <w:rsid w:val="0066343B"/>
    <w:rsid w:val="00664777"/>
    <w:rsid w:val="006748A4"/>
    <w:rsid w:val="00680643"/>
    <w:rsid w:val="00681A31"/>
    <w:rsid w:val="00683E73"/>
    <w:rsid w:val="006878DE"/>
    <w:rsid w:val="006A3141"/>
    <w:rsid w:val="006A5E34"/>
    <w:rsid w:val="006B2422"/>
    <w:rsid w:val="006B2B9A"/>
    <w:rsid w:val="006C1937"/>
    <w:rsid w:val="006E7479"/>
    <w:rsid w:val="006F020C"/>
    <w:rsid w:val="006F5A2C"/>
    <w:rsid w:val="007127B7"/>
    <w:rsid w:val="0071528C"/>
    <w:rsid w:val="0071798E"/>
    <w:rsid w:val="00740D64"/>
    <w:rsid w:val="007416B6"/>
    <w:rsid w:val="00746F48"/>
    <w:rsid w:val="0075404D"/>
    <w:rsid w:val="007614B3"/>
    <w:rsid w:val="0076182A"/>
    <w:rsid w:val="00764409"/>
    <w:rsid w:val="00767B7E"/>
    <w:rsid w:val="007770C3"/>
    <w:rsid w:val="00782A61"/>
    <w:rsid w:val="00784D24"/>
    <w:rsid w:val="00785FBA"/>
    <w:rsid w:val="00786E4A"/>
    <w:rsid w:val="007875EB"/>
    <w:rsid w:val="007910EA"/>
    <w:rsid w:val="0079426B"/>
    <w:rsid w:val="007A02BB"/>
    <w:rsid w:val="007C3E8D"/>
    <w:rsid w:val="007D1682"/>
    <w:rsid w:val="007D312A"/>
    <w:rsid w:val="007D3F19"/>
    <w:rsid w:val="007E23B0"/>
    <w:rsid w:val="007E23E5"/>
    <w:rsid w:val="007F18DD"/>
    <w:rsid w:val="007F1991"/>
    <w:rsid w:val="007F2C2F"/>
    <w:rsid w:val="007F55FC"/>
    <w:rsid w:val="007F5665"/>
    <w:rsid w:val="00800112"/>
    <w:rsid w:val="008038FB"/>
    <w:rsid w:val="00813348"/>
    <w:rsid w:val="008253BB"/>
    <w:rsid w:val="0083706E"/>
    <w:rsid w:val="008408F6"/>
    <w:rsid w:val="008423A5"/>
    <w:rsid w:val="00850625"/>
    <w:rsid w:val="00853718"/>
    <w:rsid w:val="00854624"/>
    <w:rsid w:val="00855221"/>
    <w:rsid w:val="00860645"/>
    <w:rsid w:val="00867F6E"/>
    <w:rsid w:val="00871F71"/>
    <w:rsid w:val="00872FD8"/>
    <w:rsid w:val="00885AF4"/>
    <w:rsid w:val="008939CD"/>
    <w:rsid w:val="008A4183"/>
    <w:rsid w:val="008B768C"/>
    <w:rsid w:val="008C4DB1"/>
    <w:rsid w:val="008C4EAF"/>
    <w:rsid w:val="008C5176"/>
    <w:rsid w:val="008C7FD0"/>
    <w:rsid w:val="008E1DE7"/>
    <w:rsid w:val="008E707C"/>
    <w:rsid w:val="008F4562"/>
    <w:rsid w:val="00900B08"/>
    <w:rsid w:val="00902155"/>
    <w:rsid w:val="00902FA3"/>
    <w:rsid w:val="009200E8"/>
    <w:rsid w:val="00923564"/>
    <w:rsid w:val="0092392E"/>
    <w:rsid w:val="009315F9"/>
    <w:rsid w:val="00933499"/>
    <w:rsid w:val="00935C98"/>
    <w:rsid w:val="00946945"/>
    <w:rsid w:val="00951248"/>
    <w:rsid w:val="0095152F"/>
    <w:rsid w:val="00954C49"/>
    <w:rsid w:val="00955E37"/>
    <w:rsid w:val="00964C66"/>
    <w:rsid w:val="0097099F"/>
    <w:rsid w:val="00971997"/>
    <w:rsid w:val="00971FFC"/>
    <w:rsid w:val="0098660A"/>
    <w:rsid w:val="00987314"/>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23B8"/>
    <w:rsid w:val="00A331C8"/>
    <w:rsid w:val="00A4050D"/>
    <w:rsid w:val="00A40A00"/>
    <w:rsid w:val="00A4142F"/>
    <w:rsid w:val="00A422EB"/>
    <w:rsid w:val="00A45BB7"/>
    <w:rsid w:val="00A56DF2"/>
    <w:rsid w:val="00A56E6E"/>
    <w:rsid w:val="00A67AB5"/>
    <w:rsid w:val="00A7248D"/>
    <w:rsid w:val="00A733B2"/>
    <w:rsid w:val="00A741C2"/>
    <w:rsid w:val="00A91760"/>
    <w:rsid w:val="00A92A86"/>
    <w:rsid w:val="00A93B00"/>
    <w:rsid w:val="00A93C21"/>
    <w:rsid w:val="00AB64C9"/>
    <w:rsid w:val="00AC3C6A"/>
    <w:rsid w:val="00AD5420"/>
    <w:rsid w:val="00AD5620"/>
    <w:rsid w:val="00AD656B"/>
    <w:rsid w:val="00AD7C1B"/>
    <w:rsid w:val="00AE16BA"/>
    <w:rsid w:val="00AE1EBE"/>
    <w:rsid w:val="00AF5699"/>
    <w:rsid w:val="00AF712C"/>
    <w:rsid w:val="00B03C9D"/>
    <w:rsid w:val="00B060AE"/>
    <w:rsid w:val="00B10517"/>
    <w:rsid w:val="00B14E76"/>
    <w:rsid w:val="00B161B8"/>
    <w:rsid w:val="00B2048C"/>
    <w:rsid w:val="00B21FBF"/>
    <w:rsid w:val="00B310B9"/>
    <w:rsid w:val="00B35F3F"/>
    <w:rsid w:val="00B36CBB"/>
    <w:rsid w:val="00B36E71"/>
    <w:rsid w:val="00B406B5"/>
    <w:rsid w:val="00B425E0"/>
    <w:rsid w:val="00B440AA"/>
    <w:rsid w:val="00B44B70"/>
    <w:rsid w:val="00B50F9D"/>
    <w:rsid w:val="00B53C56"/>
    <w:rsid w:val="00B56658"/>
    <w:rsid w:val="00B57DAF"/>
    <w:rsid w:val="00B64772"/>
    <w:rsid w:val="00B77EA6"/>
    <w:rsid w:val="00B81598"/>
    <w:rsid w:val="00B841F1"/>
    <w:rsid w:val="00B944D6"/>
    <w:rsid w:val="00BB4DF0"/>
    <w:rsid w:val="00BC289F"/>
    <w:rsid w:val="00BC2D50"/>
    <w:rsid w:val="00BC5361"/>
    <w:rsid w:val="00BC5460"/>
    <w:rsid w:val="00BC6B50"/>
    <w:rsid w:val="00BD0E25"/>
    <w:rsid w:val="00BD62F1"/>
    <w:rsid w:val="00BE1469"/>
    <w:rsid w:val="00BF5BD6"/>
    <w:rsid w:val="00C03E31"/>
    <w:rsid w:val="00C11356"/>
    <w:rsid w:val="00C20474"/>
    <w:rsid w:val="00C33E72"/>
    <w:rsid w:val="00C354B2"/>
    <w:rsid w:val="00C35554"/>
    <w:rsid w:val="00C42709"/>
    <w:rsid w:val="00C533CC"/>
    <w:rsid w:val="00C5751C"/>
    <w:rsid w:val="00C57F12"/>
    <w:rsid w:val="00C61BFC"/>
    <w:rsid w:val="00C6232A"/>
    <w:rsid w:val="00C62B85"/>
    <w:rsid w:val="00C65438"/>
    <w:rsid w:val="00C7131E"/>
    <w:rsid w:val="00C73FC5"/>
    <w:rsid w:val="00C87FD8"/>
    <w:rsid w:val="00C91381"/>
    <w:rsid w:val="00C91CBB"/>
    <w:rsid w:val="00C92057"/>
    <w:rsid w:val="00CB4E70"/>
    <w:rsid w:val="00CC09B6"/>
    <w:rsid w:val="00CC666F"/>
    <w:rsid w:val="00CD174A"/>
    <w:rsid w:val="00CD1E3F"/>
    <w:rsid w:val="00CE44F6"/>
    <w:rsid w:val="00CE49DA"/>
    <w:rsid w:val="00CE7B61"/>
    <w:rsid w:val="00D00095"/>
    <w:rsid w:val="00D114F0"/>
    <w:rsid w:val="00D15C52"/>
    <w:rsid w:val="00D20620"/>
    <w:rsid w:val="00D254F7"/>
    <w:rsid w:val="00D26091"/>
    <w:rsid w:val="00D2685C"/>
    <w:rsid w:val="00D2794D"/>
    <w:rsid w:val="00D347C5"/>
    <w:rsid w:val="00D34E7C"/>
    <w:rsid w:val="00D35489"/>
    <w:rsid w:val="00D36AFE"/>
    <w:rsid w:val="00D412BC"/>
    <w:rsid w:val="00D51276"/>
    <w:rsid w:val="00D7035F"/>
    <w:rsid w:val="00D80473"/>
    <w:rsid w:val="00DA634F"/>
    <w:rsid w:val="00DA65AC"/>
    <w:rsid w:val="00DA7B34"/>
    <w:rsid w:val="00DB051C"/>
    <w:rsid w:val="00DB1913"/>
    <w:rsid w:val="00DC410D"/>
    <w:rsid w:val="00DC5A81"/>
    <w:rsid w:val="00DC68CA"/>
    <w:rsid w:val="00DC7CBA"/>
    <w:rsid w:val="00DD73B7"/>
    <w:rsid w:val="00DF28BC"/>
    <w:rsid w:val="00DF33C7"/>
    <w:rsid w:val="00DF34B9"/>
    <w:rsid w:val="00E00224"/>
    <w:rsid w:val="00E002C4"/>
    <w:rsid w:val="00E01053"/>
    <w:rsid w:val="00E07ACF"/>
    <w:rsid w:val="00E331A1"/>
    <w:rsid w:val="00E33202"/>
    <w:rsid w:val="00E336A9"/>
    <w:rsid w:val="00E472B1"/>
    <w:rsid w:val="00E50624"/>
    <w:rsid w:val="00E54633"/>
    <w:rsid w:val="00E568DF"/>
    <w:rsid w:val="00E62DC0"/>
    <w:rsid w:val="00E64269"/>
    <w:rsid w:val="00E82267"/>
    <w:rsid w:val="00E82766"/>
    <w:rsid w:val="00E853CE"/>
    <w:rsid w:val="00E867B6"/>
    <w:rsid w:val="00EA010F"/>
    <w:rsid w:val="00EA382B"/>
    <w:rsid w:val="00EA40A9"/>
    <w:rsid w:val="00EB5E54"/>
    <w:rsid w:val="00ED1B63"/>
    <w:rsid w:val="00ED3C1F"/>
    <w:rsid w:val="00ED4085"/>
    <w:rsid w:val="00ED420E"/>
    <w:rsid w:val="00ED6FBE"/>
    <w:rsid w:val="00EE2F57"/>
    <w:rsid w:val="00EF4C34"/>
    <w:rsid w:val="00EF77C6"/>
    <w:rsid w:val="00F05438"/>
    <w:rsid w:val="00F1361C"/>
    <w:rsid w:val="00F156F0"/>
    <w:rsid w:val="00F160C7"/>
    <w:rsid w:val="00F211EF"/>
    <w:rsid w:val="00F2408F"/>
    <w:rsid w:val="00F240E9"/>
    <w:rsid w:val="00F3090B"/>
    <w:rsid w:val="00F35178"/>
    <w:rsid w:val="00F353A2"/>
    <w:rsid w:val="00F36D8F"/>
    <w:rsid w:val="00F417B1"/>
    <w:rsid w:val="00F45853"/>
    <w:rsid w:val="00F602DF"/>
    <w:rsid w:val="00F754A1"/>
    <w:rsid w:val="00F81FD9"/>
    <w:rsid w:val="00F821CC"/>
    <w:rsid w:val="00F841AA"/>
    <w:rsid w:val="00F84A94"/>
    <w:rsid w:val="00F87E96"/>
    <w:rsid w:val="00FA23E8"/>
    <w:rsid w:val="00FC636F"/>
    <w:rsid w:val="00FD0545"/>
    <w:rsid w:val="00FD3CC1"/>
    <w:rsid w:val="00FF1E02"/>
    <w:rsid w:val="00FF30B4"/>
    <w:rsid w:val="012A5EC2"/>
    <w:rsid w:val="015975B8"/>
    <w:rsid w:val="02FEBE30"/>
    <w:rsid w:val="04916F1E"/>
    <w:rsid w:val="05DE7F94"/>
    <w:rsid w:val="061E35DE"/>
    <w:rsid w:val="066E0107"/>
    <w:rsid w:val="06CD35E7"/>
    <w:rsid w:val="07996F6E"/>
    <w:rsid w:val="07DFD8BA"/>
    <w:rsid w:val="09867E8F"/>
    <w:rsid w:val="0A2032A3"/>
    <w:rsid w:val="0CA8290A"/>
    <w:rsid w:val="0D35B1ED"/>
    <w:rsid w:val="0DC140A3"/>
    <w:rsid w:val="0E254B6B"/>
    <w:rsid w:val="0F98263C"/>
    <w:rsid w:val="101860EC"/>
    <w:rsid w:val="101F47CC"/>
    <w:rsid w:val="10C055FF"/>
    <w:rsid w:val="11694EBD"/>
    <w:rsid w:val="11772AA4"/>
    <w:rsid w:val="118107EC"/>
    <w:rsid w:val="1273448E"/>
    <w:rsid w:val="12BB58E4"/>
    <w:rsid w:val="12E24EE2"/>
    <w:rsid w:val="13D50BC4"/>
    <w:rsid w:val="1452128F"/>
    <w:rsid w:val="14B17F78"/>
    <w:rsid w:val="15DD2016"/>
    <w:rsid w:val="165E0673"/>
    <w:rsid w:val="16B831D5"/>
    <w:rsid w:val="16BB723D"/>
    <w:rsid w:val="17E50567"/>
    <w:rsid w:val="186504BB"/>
    <w:rsid w:val="19A445FC"/>
    <w:rsid w:val="1BE8440E"/>
    <w:rsid w:val="1D155CEE"/>
    <w:rsid w:val="1D1638FE"/>
    <w:rsid w:val="1E312DEB"/>
    <w:rsid w:val="1E740ACF"/>
    <w:rsid w:val="1FF35744"/>
    <w:rsid w:val="1FF6BC77"/>
    <w:rsid w:val="20607ACB"/>
    <w:rsid w:val="20FD356C"/>
    <w:rsid w:val="2186353C"/>
    <w:rsid w:val="232B2612"/>
    <w:rsid w:val="23860B96"/>
    <w:rsid w:val="240371BF"/>
    <w:rsid w:val="244F3473"/>
    <w:rsid w:val="24C97D99"/>
    <w:rsid w:val="25A718F0"/>
    <w:rsid w:val="25BB59F6"/>
    <w:rsid w:val="260F557C"/>
    <w:rsid w:val="26970054"/>
    <w:rsid w:val="26F97C49"/>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8F44F8"/>
    <w:rsid w:val="33A773CB"/>
    <w:rsid w:val="349D6851"/>
    <w:rsid w:val="36AA5135"/>
    <w:rsid w:val="36BE0DA7"/>
    <w:rsid w:val="372E402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AC3EF8"/>
    <w:rsid w:val="3DEE7CF3"/>
    <w:rsid w:val="3E740A63"/>
    <w:rsid w:val="3E78745D"/>
    <w:rsid w:val="3EE17838"/>
    <w:rsid w:val="3F55381A"/>
    <w:rsid w:val="3F7F7599"/>
    <w:rsid w:val="3FF4CAE0"/>
    <w:rsid w:val="3FF7B227"/>
    <w:rsid w:val="44E268DA"/>
    <w:rsid w:val="450D13D7"/>
    <w:rsid w:val="45506656"/>
    <w:rsid w:val="482F7BFF"/>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8F702C5"/>
    <w:rsid w:val="5AF92295"/>
    <w:rsid w:val="5B250254"/>
    <w:rsid w:val="5BDD79E6"/>
    <w:rsid w:val="5BF561CA"/>
    <w:rsid w:val="5BFF5DFC"/>
    <w:rsid w:val="5CD71FC4"/>
    <w:rsid w:val="5D1F11B5"/>
    <w:rsid w:val="5D695134"/>
    <w:rsid w:val="5DAE1B18"/>
    <w:rsid w:val="5DE7D9E5"/>
    <w:rsid w:val="5E8C14B0"/>
    <w:rsid w:val="5ECEC941"/>
    <w:rsid w:val="5FBF9FF3"/>
    <w:rsid w:val="5FCD4E2C"/>
    <w:rsid w:val="5FEF394A"/>
    <w:rsid w:val="5FF67715"/>
    <w:rsid w:val="62272C79"/>
    <w:rsid w:val="62BF3928"/>
    <w:rsid w:val="62DD052C"/>
    <w:rsid w:val="631531F6"/>
    <w:rsid w:val="63B3701E"/>
    <w:rsid w:val="647F5392"/>
    <w:rsid w:val="659F09EE"/>
    <w:rsid w:val="65E66580"/>
    <w:rsid w:val="664B1D71"/>
    <w:rsid w:val="664B4E8E"/>
    <w:rsid w:val="67277B67"/>
    <w:rsid w:val="67AA3209"/>
    <w:rsid w:val="698D0931"/>
    <w:rsid w:val="6A682DD1"/>
    <w:rsid w:val="6A7FE5F3"/>
    <w:rsid w:val="6B053271"/>
    <w:rsid w:val="6BDD78B3"/>
    <w:rsid w:val="6BDF608D"/>
    <w:rsid w:val="6C4A05C8"/>
    <w:rsid w:val="6C8742B8"/>
    <w:rsid w:val="6C8934D3"/>
    <w:rsid w:val="6D521B17"/>
    <w:rsid w:val="6DBF5E93"/>
    <w:rsid w:val="6DFF077E"/>
    <w:rsid w:val="6E714EF0"/>
    <w:rsid w:val="6E7E3605"/>
    <w:rsid w:val="6E7FDCC7"/>
    <w:rsid w:val="6ED6A62E"/>
    <w:rsid w:val="6EE00B15"/>
    <w:rsid w:val="6F6FB3EB"/>
    <w:rsid w:val="6F8731EA"/>
    <w:rsid w:val="6FC54822"/>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79207F"/>
    <w:rsid w:val="747B3474"/>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BCD518A"/>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5"/>
    <w:qFormat/>
    <w:uiPriority w:val="9"/>
    <w:rPr>
      <w:rFonts w:ascii="Times New Roman" w:hAnsi="Times New Roman"/>
      <w:b/>
      <w:bCs/>
      <w:kern w:val="44"/>
      <w:sz w:val="44"/>
      <w:szCs w:val="44"/>
    </w:rPr>
  </w:style>
  <w:style w:type="character" w:customStyle="1" w:styleId="29">
    <w:name w:val="标题 2 字符"/>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10"/>
    <w:semiHidden/>
    <w:qFormat/>
    <w:uiPriority w:val="99"/>
    <w:rPr>
      <w:rFonts w:ascii="Times New Roman" w:hAnsi="Times New Roman"/>
      <w:kern w:val="2"/>
      <w:sz w:val="18"/>
      <w:szCs w:val="18"/>
    </w:rPr>
  </w:style>
  <w:style w:type="character" w:customStyle="1" w:styleId="32">
    <w:name w:val="标题 3 字符"/>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3.emf"/><Relationship Id="rId23" Type="http://schemas.openxmlformats.org/officeDocument/2006/relationships/package" Target="embeddings/Workbook2.xlsx"/><Relationship Id="rId22" Type="http://schemas.openxmlformats.org/officeDocument/2006/relationships/image" Target="media/image2.emf"/><Relationship Id="rId21" Type="http://schemas.openxmlformats.org/officeDocument/2006/relationships/package" Target="embeddings/Workbook1.xlsx"/><Relationship Id="rId20" Type="http://schemas.openxmlformats.org/officeDocument/2006/relationships/chart" Target="charts/chart7.xml"/><Relationship Id="rId2" Type="http://schemas.openxmlformats.org/officeDocument/2006/relationships/settings" Target="settings.xml"/><Relationship Id="rId19" Type="http://schemas.openxmlformats.org/officeDocument/2006/relationships/chart" Target="charts/chart6.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2.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3.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8.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ysClr val="windowText" lastClr="000000">
                    <a:lumMod val="65000"/>
                    <a:lumOff val="35000"/>
                  </a:sysClr>
                </a:solidFill>
                <a:latin typeface="+mn-lt"/>
                <a:ea typeface="+mn-ea"/>
                <a:cs typeface="+mn-cs"/>
              </a:defRPr>
            </a:pPr>
            <a:r>
              <a:rPr lang="zh-CN" altLang="en-US"/>
              <a:t>收入支出决算</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收入，支出</c:v>
                </c:pt>
              </c:strCache>
            </c:strRef>
          </c:tx>
          <c:spPr>
            <a:solidFill>
              <a:srgbClr val="4F81BD"/>
            </a:solidFill>
            <a:ln>
              <a:noFill/>
            </a:ln>
            <a:effectLst/>
          </c:spPr>
          <c:invertIfNegative val="0"/>
          <c:dLbls>
            <c:delete val="1"/>
          </c:dLbls>
          <c:cat>
            <c:numRef>
              <c:f>Sheet1!$A$2:$A$5</c:f>
              <c:numCache>
                <c:formatCode>General</c:formatCode>
                <c:ptCount val="4"/>
                <c:pt idx="0">
                  <c:v>2025</c:v>
                </c:pt>
                <c:pt idx="1">
                  <c:v>2024</c:v>
                </c:pt>
              </c:numCache>
            </c:numRef>
          </c:cat>
          <c:val>
            <c:numRef>
              <c:f>Sheet1!$B$2:$B$5</c:f>
              <c:numCache>
                <c:formatCode>General</c:formatCode>
                <c:ptCount val="4"/>
                <c:pt idx="0">
                  <c:v>531.97</c:v>
                </c:pt>
              </c:numCache>
            </c:numRef>
          </c:val>
        </c:ser>
        <c:ser>
          <c:idx val="1"/>
          <c:order val="1"/>
          <c:tx>
            <c:strRef>
              <c:f>Sheet1!$C$1</c:f>
              <c:strCache>
                <c:ptCount val="1"/>
                <c:pt idx="0">
                  <c:v>列1</c:v>
                </c:pt>
              </c:strCache>
            </c:strRef>
          </c:tx>
          <c:spPr>
            <a:solidFill>
              <a:srgbClr val="C0504D"/>
            </a:solidFill>
            <a:ln>
              <a:noFill/>
            </a:ln>
            <a:effectLst/>
          </c:spPr>
          <c:invertIfNegative val="0"/>
          <c:dLbls>
            <c:delete val="1"/>
          </c:dLbls>
          <c:cat>
            <c:numRef>
              <c:f>Sheet1!$A$2:$A$5</c:f>
              <c:numCache>
                <c:formatCode>General</c:formatCode>
                <c:ptCount val="4"/>
                <c:pt idx="0">
                  <c:v>2025</c:v>
                </c:pt>
                <c:pt idx="1">
                  <c:v>2024</c:v>
                </c:pt>
              </c:numCache>
            </c:numRef>
          </c:cat>
          <c:val>
            <c:numRef>
              <c:f>Sheet1!$C$2:$C$5</c:f>
              <c:numCache>
                <c:formatCode>General</c:formatCode>
                <c:ptCount val="4"/>
                <c:pt idx="1">
                  <c:v>496.9</c:v>
                </c:pt>
              </c:numCache>
            </c:numRef>
          </c:val>
        </c:ser>
        <c:ser>
          <c:idx val="2"/>
          <c:order val="2"/>
          <c:tx>
            <c:strRef>
              <c:f>Sheet1!$D$1</c:f>
              <c:strCache>
                <c:ptCount val="1"/>
                <c:pt idx="0">
                  <c:v>列2</c:v>
                </c:pt>
              </c:strCache>
            </c:strRef>
          </c:tx>
          <c:spPr>
            <a:solidFill>
              <a:srgbClr val="9BBB59"/>
            </a:solidFill>
            <a:ln>
              <a:noFill/>
            </a:ln>
            <a:effectLst/>
          </c:spPr>
          <c:invertIfNegative val="0"/>
          <c:dLbls>
            <c:delete val="1"/>
          </c:dLbls>
          <c:cat>
            <c:numRef>
              <c:f>Sheet1!$A$2:$A$5</c:f>
              <c:numCache>
                <c:formatCode>General</c:formatCode>
                <c:ptCount val="4"/>
                <c:pt idx="0">
                  <c:v>2025</c:v>
                </c:pt>
                <c:pt idx="1">
                  <c:v>2024</c:v>
                </c:pt>
              </c:numCache>
            </c:num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1025991807"/>
        <c:axId val="1025985567"/>
      </c:barChart>
      <c:catAx>
        <c:axId val="1025991807"/>
        <c:scaling>
          <c:orientation val="minMax"/>
        </c:scaling>
        <c:delete val="0"/>
        <c:axPos val="b"/>
        <c:numFmt formatCode="General" sourceLinked="1"/>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1"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1025985567"/>
        <c:crosses val="autoZero"/>
        <c:auto val="1"/>
        <c:lblAlgn val="ctr"/>
        <c:lblOffset val="100"/>
        <c:noMultiLvlLbl val="0"/>
      </c:catAx>
      <c:valAx>
        <c:axId val="1025985567"/>
        <c:scaling>
          <c:orientation val="minMax"/>
        </c:scaling>
        <c:delete val="0"/>
        <c:axPos val="l"/>
        <c:majorGridlines>
          <c:spPr>
            <a:ln w="9525" cap="flat" cmpd="sng" algn="ctr">
              <a:solidFill>
                <a:sysClr val="windowText" lastClr="000000">
                  <a:lumMod val="15000"/>
                  <a:lumOff val="85000"/>
                </a:sys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102599180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extLst>
      <c:ext uri="{0b15fc19-7d7d-44ad-8c2d-2c3a37ce22c3}">
        <chartProps xmlns="https://web.wps.cn/et/2018/main" chartId="{deb775bc-3324-4fe9-b9ac-33ac4881aeeb}"/>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收入决算</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numRef>
              <c:f>Sheet1!$A$2:$A$5</c:f>
              <c:numCache>
                <c:formatCode>General</c:formatCode>
                <c:ptCount val="4"/>
                <c:pt idx="0">
                  <c:v>2025</c:v>
                </c:pt>
              </c:numCache>
            </c:numRef>
          </c:cat>
          <c:val>
            <c:numRef>
              <c:f>Sheet1!$B$2:$B$5</c:f>
              <c:numCache>
                <c:formatCode>General</c:formatCode>
                <c:ptCount val="4"/>
                <c:pt idx="0">
                  <c:v>531.97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2a87aa3-c4fe-4e6e-a40c-ff792940f0a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2"/>
                <c:pt idx="0">
                  <c:v>基本支出</c:v>
                </c:pt>
                <c:pt idx="1">
                  <c:v>项目支出</c:v>
                </c:pt>
              </c:strCache>
            </c:strRef>
          </c:cat>
          <c:val>
            <c:numRef>
              <c:f>Sheet1!$B$2:$B$5</c:f>
              <c:numCache>
                <c:formatCode>General</c:formatCode>
                <c:ptCount val="4"/>
                <c:pt idx="0">
                  <c:v>405.67</c:v>
                </c:pt>
                <c:pt idx="1">
                  <c:v>126.3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899b037-0b6d-428d-b0d3-58345c23705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财政拔款收、支决算</a:t>
            </a:r>
            <a:endParaRPr lang="zh-CN" altLang="en-US"/>
          </a:p>
        </c:rich>
      </c:tx>
      <c:layout/>
      <c:overlay val="0"/>
      <c:spPr>
        <a:noFill/>
        <a:ln>
          <a:noFill/>
        </a:ln>
        <a:effectLst/>
      </c:spPr>
    </c:title>
    <c:autoTitleDeleted val="0"/>
    <c:plotArea>
      <c:layout>
        <c:manualLayout>
          <c:layoutTarget val="inner"/>
          <c:xMode val="edge"/>
          <c:yMode val="edge"/>
          <c:x val="0.0648446905851192"/>
          <c:y val="0.154798761609907"/>
          <c:w val="0.908668432458464"/>
          <c:h val="0.648998968008256"/>
        </c:manualLayout>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delete val="1"/>
          </c:dLbls>
          <c:cat>
            <c:numRef>
              <c:f>Sheet1!$A$2:$A$5</c:f>
              <c:numCache>
                <c:formatCode>General</c:formatCode>
                <c:ptCount val="4"/>
                <c:pt idx="0">
                  <c:v>2025</c:v>
                </c:pt>
                <c:pt idx="1">
                  <c:v>2024</c:v>
                </c:pt>
              </c:numCache>
            </c:numRef>
          </c:cat>
          <c:val>
            <c:numRef>
              <c:f>Sheet1!$B$2:$B$5</c:f>
              <c:numCache>
                <c:formatCode>General</c:formatCode>
                <c:ptCount val="4"/>
                <c:pt idx="0">
                  <c:v>531.97</c:v>
                </c:pt>
              </c:numCache>
            </c:numRef>
          </c:val>
        </c:ser>
        <c:ser>
          <c:idx val="1"/>
          <c:order val="1"/>
          <c:tx>
            <c:strRef>
              <c:f>Sheet1!$C$1</c:f>
              <c:strCache>
                <c:ptCount val="1"/>
                <c:pt idx="0">
                  <c:v>支出2</c:v>
                </c:pt>
              </c:strCache>
            </c:strRef>
          </c:tx>
          <c:spPr>
            <a:solidFill>
              <a:schemeClr val="accent2"/>
            </a:solidFill>
            <a:ln>
              <a:noFill/>
            </a:ln>
            <a:effectLst/>
          </c:spPr>
          <c:invertIfNegative val="0"/>
          <c:dLbls>
            <c:delete val="1"/>
          </c:dLbls>
          <c:cat>
            <c:numRef>
              <c:f>Sheet1!$A$2:$A$5</c:f>
              <c:numCache>
                <c:formatCode>General</c:formatCode>
                <c:ptCount val="4"/>
                <c:pt idx="0">
                  <c:v>2025</c:v>
                </c:pt>
                <c:pt idx="1">
                  <c:v>2024</c:v>
                </c:pt>
              </c:numCache>
            </c:numRef>
          </c:cat>
          <c:val>
            <c:numRef>
              <c:f>Sheet1!$C$2:$C$5</c:f>
              <c:numCache>
                <c:formatCode>General</c:formatCode>
                <c:ptCount val="4"/>
                <c:pt idx="1">
                  <c:v>496.9</c:v>
                </c:pt>
              </c:numCache>
            </c:numRef>
          </c:val>
        </c:ser>
        <c:ser>
          <c:idx val="2"/>
          <c:order val="2"/>
          <c:tx>
            <c:strRef>
              <c:f>Sheet1!$D$1</c:f>
              <c:strCache>
                <c:ptCount val="1"/>
                <c:pt idx="0">
                  <c:v>列3</c:v>
                </c:pt>
              </c:strCache>
            </c:strRef>
          </c:tx>
          <c:spPr>
            <a:solidFill>
              <a:schemeClr val="accent3"/>
            </a:solidFill>
            <a:ln>
              <a:noFill/>
            </a:ln>
            <a:effectLst/>
          </c:spPr>
          <c:invertIfNegative val="0"/>
          <c:dLbls>
            <c:delete val="1"/>
          </c:dLbls>
          <c:cat>
            <c:numRef>
              <c:f>Sheet1!$A$2:$A$5</c:f>
              <c:numCache>
                <c:formatCode>General</c:formatCode>
                <c:ptCount val="4"/>
                <c:pt idx="0">
                  <c:v>2025</c:v>
                </c:pt>
                <c:pt idx="1">
                  <c:v>2024</c:v>
                </c:pt>
              </c:numCache>
            </c:num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1025970207"/>
        <c:axId val="1025952927"/>
      </c:barChart>
      <c:catAx>
        <c:axId val="1025970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5952927"/>
        <c:crosses val="autoZero"/>
        <c:auto val="1"/>
        <c:lblAlgn val="ctr"/>
        <c:lblOffset val="100"/>
        <c:noMultiLvlLbl val="0"/>
      </c:catAx>
      <c:valAx>
        <c:axId val="1025952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597020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8ea6f0d-888e-4b58-b989-5ee85c6bfc6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一般公共预算财政拔款支出决算</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delete val="1"/>
          </c:dLbls>
          <c:cat>
            <c:numRef>
              <c:f>Sheet1!$A$2:$A$5</c:f>
              <c:numCache>
                <c:formatCode>General</c:formatCode>
                <c:ptCount val="4"/>
                <c:pt idx="0">
                  <c:v>2025</c:v>
                </c:pt>
                <c:pt idx="1">
                  <c:v>2024</c:v>
                </c:pt>
              </c:numCache>
            </c:numRef>
          </c:cat>
          <c:val>
            <c:numRef>
              <c:f>Sheet1!$B$2:$B$5</c:f>
              <c:numCache>
                <c:formatCode>General</c:formatCode>
                <c:ptCount val="4"/>
                <c:pt idx="0">
                  <c:v>531.97</c:v>
                </c:pt>
              </c:numCache>
            </c:numRef>
          </c:val>
        </c:ser>
        <c:ser>
          <c:idx val="1"/>
          <c:order val="1"/>
          <c:tx>
            <c:strRef>
              <c:f>Sheet1!$C$1</c:f>
              <c:strCache>
                <c:ptCount val="1"/>
                <c:pt idx="0">
                  <c:v>支出2</c:v>
                </c:pt>
              </c:strCache>
            </c:strRef>
          </c:tx>
          <c:spPr>
            <a:solidFill>
              <a:schemeClr val="accent2"/>
            </a:solidFill>
            <a:ln>
              <a:noFill/>
            </a:ln>
            <a:effectLst/>
          </c:spPr>
          <c:invertIfNegative val="0"/>
          <c:dLbls>
            <c:delete val="1"/>
          </c:dLbls>
          <c:cat>
            <c:numRef>
              <c:f>Sheet1!$A$2:$A$5</c:f>
              <c:numCache>
                <c:formatCode>General</c:formatCode>
                <c:ptCount val="4"/>
                <c:pt idx="0">
                  <c:v>2025</c:v>
                </c:pt>
                <c:pt idx="1">
                  <c:v>2024</c:v>
                </c:pt>
              </c:numCache>
            </c:numRef>
          </c:cat>
          <c:val>
            <c:numRef>
              <c:f>Sheet1!$C$2:$C$5</c:f>
              <c:numCache>
                <c:formatCode>General</c:formatCode>
                <c:ptCount val="4"/>
                <c:pt idx="1">
                  <c:v>496.9</c:v>
                </c:pt>
              </c:numCache>
            </c:numRef>
          </c:val>
        </c:ser>
        <c:ser>
          <c:idx val="2"/>
          <c:order val="2"/>
          <c:tx>
            <c:strRef>
              <c:f>Sheet1!$D$1</c:f>
              <c:strCache>
                <c:ptCount val="1"/>
                <c:pt idx="0">
                  <c:v>列3</c:v>
                </c:pt>
              </c:strCache>
            </c:strRef>
          </c:tx>
          <c:spPr>
            <a:solidFill>
              <a:schemeClr val="accent3"/>
            </a:solidFill>
            <a:ln>
              <a:noFill/>
            </a:ln>
            <a:effectLst/>
          </c:spPr>
          <c:invertIfNegative val="0"/>
          <c:dLbls>
            <c:delete val="1"/>
          </c:dLbls>
          <c:cat>
            <c:numRef>
              <c:f>Sheet1!$A$2:$A$5</c:f>
              <c:numCache>
                <c:formatCode>General</c:formatCode>
                <c:ptCount val="4"/>
                <c:pt idx="0">
                  <c:v>2025</c:v>
                </c:pt>
                <c:pt idx="1">
                  <c:v>2024</c:v>
                </c:pt>
              </c:numCache>
            </c:num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1025970207"/>
        <c:axId val="1025952927"/>
      </c:barChart>
      <c:catAx>
        <c:axId val="1025970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5952927"/>
        <c:crosses val="autoZero"/>
        <c:auto val="1"/>
        <c:lblAlgn val="ctr"/>
        <c:lblOffset val="100"/>
        <c:noMultiLvlLbl val="0"/>
      </c:catAx>
      <c:valAx>
        <c:axId val="1025952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597020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3a3ac58-522c-46ce-809e-078a145345a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24512400674211"/>
          <c:y val="0.00619195046439629"/>
        </c:manualLayout>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文化旅游体育与传媒支出</c:v>
                </c:pt>
                <c:pt idx="1">
                  <c:v>社会保障和就业支出</c:v>
                </c:pt>
                <c:pt idx="2">
                  <c:v>卫生健康支出</c:v>
                </c:pt>
                <c:pt idx="3">
                  <c:v>住房保障支出</c:v>
                </c:pt>
              </c:strCache>
            </c:strRef>
          </c:cat>
          <c:val>
            <c:numRef>
              <c:f>Sheet1!$B$2:$B$5</c:f>
              <c:numCache>
                <c:formatCode>General</c:formatCode>
                <c:ptCount val="4"/>
                <c:pt idx="0">
                  <c:v>437.76</c:v>
                </c:pt>
                <c:pt idx="1">
                  <c:v>47.19</c:v>
                </c:pt>
                <c:pt idx="2">
                  <c:v>21.77</c:v>
                </c:pt>
                <c:pt idx="3">
                  <c:v>25.25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47289ae-c7b5-484d-b672-4753eba2420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“三公”经费</a:t>
            </a:r>
            <a:endParaRPr lang="zh-CN" altLang="en-US"/>
          </a:p>
        </c:rich>
      </c:tx>
      <c:layout/>
      <c:overlay val="0"/>
      <c:spPr>
        <a:noFill/>
        <a:ln>
          <a:noFill/>
        </a:ln>
        <a:effectLst/>
      </c:spPr>
    </c:title>
    <c:autoTitleDeleted val="0"/>
    <c:plotArea>
      <c:layout>
        <c:manualLayout>
          <c:layoutTarget val="inner"/>
          <c:xMode val="edge"/>
          <c:yMode val="edge"/>
          <c:x val="0.264838289302215"/>
          <c:y val="0.211043872919818"/>
          <c:w val="0.468190972633574"/>
          <c:h val="0.747352496217852"/>
        </c:manualLayout>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公务用车</c:v>
                </c:pt>
              </c:strCache>
            </c:strRef>
          </c:cat>
          <c:val>
            <c:numRef>
              <c:f>Sheet1!$B$2:$B$5</c:f>
              <c:numCache>
                <c:formatCode>General</c:formatCode>
                <c:ptCount val="4"/>
                <c:pt idx="0">
                  <c:v>2.77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525bc97-ea8c-483a-9e3c-d82566e0da4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ysClr val="windowText" lastClr="000000"/>
    </cs:fontRef>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1C2F65-FF50-4C27-AF95-9BB07378D109}">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31</Pages>
  <Words>9094</Words>
  <Characters>1531</Characters>
  <Lines>117</Lines>
  <Paragraphs>342</Paragraphs>
  <TotalTime>31</TotalTime>
  <ScaleCrop>false</ScaleCrop>
  <LinksUpToDate>false</LinksUpToDate>
  <CharactersWithSpaces>10283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2025-09-18T02:24:00Z</dcterms:created>
  <dc:creator>曹颖</dc:creator>
  <cp:lastModifiedBy>asus</cp:lastModifiedBy>
  <cp:lastPrinted>2025-09-17T10:59:00Z</cp:lastPrinted>
  <dcterms:modified xsi:type="dcterms:W3CDTF">2025-09-18T03:42:51Z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421E6F76EBAF46278343C2ACFEEA1923_13</vt:lpwstr>
  </property>
  <property fmtid="{D5CDD505-2E9C-101B-9397-08002B2CF9AE}" pid="4" name="KSOTemplateDocerSaveRecord">
    <vt:lpwstr>eyJoZGlkIjoiNDM5M2ZiMDAxNjk0ODU1N2FkYTA4YjkxZTVjNmExY2UifQ==</vt:lpwstr>
  </property>
</Properties>
</file>