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bookmarkStart w:id="0" w:name="_Toc15306267"/>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1" w:name="_Toc15378441"/>
      <w:bookmarkStart w:id="2" w:name="_Toc15377193"/>
      <w:bookmarkStart w:id="3" w:name="_Toc15396597"/>
      <w:bookmarkStart w:id="4" w:name="_Toc15377425"/>
      <w:bookmarkStart w:id="5" w:name="_Toc15396475"/>
      <w:bookmarkStart w:id="6" w:name="_Toc6926"/>
      <w:r>
        <w:rPr>
          <w:rFonts w:hint="eastAsia" w:ascii="方正小标宋简体" w:eastAsia="方正小标宋简体" w:cs="方正小标宋简体"/>
          <w:sz w:val="72"/>
          <w:szCs w:val="72"/>
        </w:rPr>
        <w:t>2021年度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s="方正小标宋简体"/>
          <w:sz w:val="72"/>
          <w:szCs w:val="72"/>
        </w:rPr>
      </w:pPr>
      <w:bookmarkStart w:id="7" w:name="_Toc15377426"/>
      <w:bookmarkStart w:id="8" w:name="_Toc15396598"/>
      <w:bookmarkStart w:id="9" w:name="_Toc15396476"/>
      <w:bookmarkStart w:id="10" w:name="_Toc15377194"/>
      <w:bookmarkStart w:id="11" w:name="_Toc15378442"/>
      <w:bookmarkStart w:id="12" w:name="_Toc8389"/>
      <w:r>
        <w:rPr>
          <w:rFonts w:ascii="方正小标宋简体" w:eastAsia="方正小标宋简体" w:cs="方正小标宋简体"/>
          <w:sz w:val="72"/>
          <w:szCs w:val="72"/>
        </w:rPr>
        <w:t>阿坝州</w:t>
      </w:r>
      <w:bookmarkEnd w:id="0"/>
      <w:bookmarkStart w:id="13" w:name="_Toc15306268"/>
      <w:r>
        <w:rPr>
          <w:rFonts w:hint="eastAsia" w:ascii="方正小标宋简体" w:eastAsia="方正小标宋简体" w:cs="方正小标宋简体"/>
          <w:sz w:val="72"/>
          <w:szCs w:val="72"/>
        </w:rPr>
        <w:t>电影服务中心决算</w:t>
      </w:r>
      <w:bookmarkEnd w:id="7"/>
      <w:bookmarkEnd w:id="8"/>
      <w:bookmarkEnd w:id="9"/>
      <w:bookmarkEnd w:id="10"/>
      <w:bookmarkEnd w:id="11"/>
      <w:bookmarkEnd w:id="12"/>
      <w:bookmarkEnd w:id="13"/>
    </w:p>
    <w:p>
      <w:pPr>
        <w:adjustRightInd w:val="0"/>
        <w:snapToGrid w:val="0"/>
        <w:spacing w:line="360" w:lineRule="auto"/>
        <w:jc w:val="center"/>
        <w:outlineLvl w:val="9"/>
        <w:rPr>
          <w:rFonts w:ascii="方正小标宋简体" w:eastAsia="方正小标宋简体"/>
          <w:sz w:val="52"/>
          <w:szCs w:val="52"/>
        </w:rPr>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widowControl/>
        <w:jc w:val="center"/>
        <w:rPr>
          <w:rFonts w:ascii="黑体" w:eastAsia="黑体"/>
          <w:sz w:val="48"/>
          <w:szCs w:val="48"/>
        </w:rPr>
      </w:pPr>
    </w:p>
    <w:p>
      <w:pPr>
        <w:widowControl/>
        <w:jc w:val="center"/>
        <w:rPr>
          <w:rFonts w:ascii="黑体" w:eastAsia="黑体"/>
          <w:sz w:val="48"/>
          <w:szCs w:val="48"/>
        </w:rPr>
      </w:pPr>
      <w:r>
        <w:rPr>
          <w:rFonts w:hint="eastAsia" w:ascii="黑体" w:eastAsia="黑体"/>
          <w:sz w:val="48"/>
          <w:szCs w:val="48"/>
        </w:rPr>
        <w:t>目</w:t>
      </w:r>
      <w:r>
        <w:rPr>
          <w:rFonts w:hint="eastAsia" w:ascii="黑体" w:eastAsia="黑体"/>
          <w:sz w:val="48"/>
          <w:szCs w:val="48"/>
          <w:lang w:val="en-US" w:eastAsia="zh-CN"/>
        </w:rPr>
        <w:t xml:space="preserve"> </w:t>
      </w:r>
      <w:r>
        <w:rPr>
          <w:rFonts w:hint="eastAsia" w:ascii="黑体" w:eastAsia="黑体"/>
          <w:sz w:val="48"/>
          <w:szCs w:val="48"/>
        </w:rPr>
        <w:t>录</w:t>
      </w:r>
    </w:p>
    <w:sdt>
      <w:sdtPr>
        <w:rPr>
          <w:rFonts w:ascii="宋体" w:hAnsi="宋体" w:eastAsia="宋体" w:cs="Times New Roman"/>
          <w:kern w:val="2"/>
          <w:sz w:val="21"/>
          <w:szCs w:val="24"/>
          <w:lang w:val="en-US" w:eastAsia="zh-CN" w:bidi="ar-SA"/>
        </w:rPr>
        <w:id w:val="147481704"/>
        <w15:color w:val="DBDBDB"/>
        <w:docPartObj>
          <w:docPartGallery w:val="Table of Contents"/>
          <w:docPartUnique/>
        </w:docPartObj>
      </w:sdtPr>
      <w:sdtEndPr>
        <w:rPr>
          <w:rFonts w:hint="eastAsia" w:ascii="黑体" w:hAnsi="黑体" w:eastAsia="黑体" w:cs="黑体"/>
          <w:b/>
          <w:kern w:val="2"/>
          <w:sz w:val="28"/>
          <w:szCs w:val="28"/>
          <w:lang w:val="en-US" w:eastAsia="zh-CN" w:bidi="ar-SA"/>
        </w:rPr>
      </w:sdtEndPr>
      <w:sdtContent>
        <w:p>
          <w:pPr>
            <w:spacing w:before="0" w:beforeLines="0" w:after="0" w:afterLines="0" w:line="240" w:lineRule="auto"/>
            <w:ind w:left="0" w:leftChars="0" w:right="0" w:rightChars="0" w:firstLine="0" w:firstLineChars="0"/>
            <w:jc w:val="center"/>
          </w:pPr>
        </w:p>
        <w:p>
          <w:pPr>
            <w:pStyle w:val="27"/>
            <w:tabs>
              <w:tab w:val="left" w:pos="367"/>
            </w:tabs>
            <w:rPr>
              <w:rFonts w:hint="eastAsia" w:ascii="黑体" w:hAnsi="黑体" w:eastAsia="黑体" w:cs="黑体"/>
              <w:b/>
              <w:sz w:val="28"/>
              <w:szCs w:val="28"/>
            </w:rPr>
          </w:pPr>
          <w:r>
            <w:rPr>
              <w:rFonts w:hint="eastAsia" w:ascii="黑体" w:hAnsi="黑体" w:eastAsia="黑体" w:cs="黑体"/>
              <w:sz w:val="28"/>
              <w:szCs w:val="28"/>
              <w:lang w:eastAsia="zh-CN"/>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TOC \o "1-2" \h \u </w:instrText>
          </w:r>
          <w:r>
            <w:rPr>
              <w:rFonts w:hint="eastAsia" w:ascii="黑体" w:hAnsi="黑体" w:eastAsia="黑体" w:cs="黑体"/>
              <w:sz w:val="28"/>
              <w:szCs w:val="28"/>
            </w:rPr>
            <w:fldChar w:fldCharType="separate"/>
          </w:r>
        </w:p>
        <w:p>
          <w:pPr>
            <w:pStyle w:val="27"/>
            <w:tabs>
              <w:tab w:val="right" w:leader="dot" w:pos="8306"/>
            </w:tabs>
            <w:rPr>
              <w:rFonts w:hint="eastAsia" w:ascii="黑体" w:hAnsi="黑体" w:eastAsia="黑体" w:cs="黑体"/>
              <w:b/>
              <w:sz w:val="24"/>
              <w:szCs w:val="24"/>
            </w:rPr>
          </w:pPr>
          <w:r>
            <w:rPr>
              <w:rFonts w:hint="eastAsia" w:ascii="黑体" w:hAnsi="黑体" w:eastAsia="黑体" w:cs="黑体"/>
              <w:b/>
              <w:sz w:val="24"/>
              <w:szCs w:val="24"/>
            </w:rPr>
            <w:fldChar w:fldCharType="begin"/>
          </w:r>
          <w:r>
            <w:rPr>
              <w:rFonts w:hint="eastAsia" w:ascii="黑体" w:hAnsi="黑体" w:eastAsia="黑体" w:cs="黑体"/>
              <w:b/>
              <w:sz w:val="24"/>
              <w:szCs w:val="24"/>
            </w:rPr>
            <w:instrText xml:space="preserve"> HYPERLINK \l _Toc29929 </w:instrText>
          </w:r>
          <w:r>
            <w:rPr>
              <w:rFonts w:hint="eastAsia" w:ascii="黑体" w:hAnsi="黑体" w:eastAsia="黑体" w:cs="黑体"/>
              <w:b/>
              <w:sz w:val="24"/>
              <w:szCs w:val="24"/>
            </w:rPr>
            <w:fldChar w:fldCharType="separate"/>
          </w:r>
          <w:r>
            <w:rPr>
              <w:rFonts w:hint="eastAsia" w:ascii="黑体" w:hAnsi="黑体" w:eastAsia="黑体" w:cs="黑体"/>
              <w:b/>
              <w:sz w:val="24"/>
              <w:szCs w:val="24"/>
            </w:rPr>
            <w:t xml:space="preserve">第一部分 </w:t>
          </w:r>
          <w:r>
            <w:rPr>
              <w:rFonts w:hint="eastAsia" w:ascii="黑体" w:hAnsi="黑体" w:eastAsia="黑体" w:cs="黑体"/>
              <w:b/>
              <w:sz w:val="24"/>
              <w:szCs w:val="24"/>
              <w:lang w:val="en-US" w:eastAsia="zh-CN"/>
            </w:rPr>
            <w:t>部门</w:t>
          </w:r>
          <w:r>
            <w:rPr>
              <w:rFonts w:hint="eastAsia" w:ascii="黑体" w:hAnsi="黑体" w:eastAsia="黑体" w:cs="黑体"/>
              <w:b/>
              <w:bCs w:val="0"/>
              <w:sz w:val="24"/>
              <w:szCs w:val="24"/>
            </w:rPr>
            <w:t>概况</w:t>
          </w:r>
          <w:r>
            <w:rPr>
              <w:rFonts w:hint="eastAsia" w:ascii="黑体" w:hAnsi="黑体" w:eastAsia="黑体" w:cs="黑体"/>
              <w:b/>
              <w:sz w:val="24"/>
              <w:szCs w:val="24"/>
            </w:rPr>
            <w:tab/>
          </w:r>
          <w:r>
            <w:rPr>
              <w:rFonts w:hint="eastAsia" w:ascii="黑体" w:hAnsi="黑体" w:eastAsia="黑体" w:cs="黑体"/>
              <w:b/>
              <w:sz w:val="24"/>
              <w:szCs w:val="24"/>
            </w:rPr>
            <w:fldChar w:fldCharType="begin"/>
          </w:r>
          <w:r>
            <w:rPr>
              <w:rFonts w:hint="eastAsia" w:ascii="黑体" w:hAnsi="黑体" w:eastAsia="黑体" w:cs="黑体"/>
              <w:b/>
              <w:sz w:val="24"/>
              <w:szCs w:val="24"/>
            </w:rPr>
            <w:instrText xml:space="preserve"> PAGEREF _Toc29929 \h </w:instrText>
          </w:r>
          <w:r>
            <w:rPr>
              <w:rFonts w:hint="eastAsia" w:ascii="黑体" w:hAnsi="黑体" w:eastAsia="黑体" w:cs="黑体"/>
              <w:b/>
              <w:sz w:val="24"/>
              <w:szCs w:val="24"/>
            </w:rPr>
            <w:fldChar w:fldCharType="separate"/>
          </w:r>
          <w:r>
            <w:rPr>
              <w:rFonts w:hint="eastAsia" w:ascii="黑体" w:hAnsi="黑体" w:eastAsia="黑体" w:cs="黑体"/>
              <w:b/>
              <w:sz w:val="24"/>
              <w:szCs w:val="24"/>
            </w:rPr>
            <w:t>4</w:t>
          </w:r>
          <w:r>
            <w:rPr>
              <w:rFonts w:hint="eastAsia" w:ascii="黑体" w:hAnsi="黑体" w:eastAsia="黑体" w:cs="黑体"/>
              <w:b/>
              <w:sz w:val="24"/>
              <w:szCs w:val="24"/>
            </w:rPr>
            <w:fldChar w:fldCharType="end"/>
          </w:r>
          <w:r>
            <w:rPr>
              <w:rFonts w:hint="eastAsia" w:ascii="黑体" w:hAnsi="黑体" w:eastAsia="黑体" w:cs="黑体"/>
              <w:b/>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_Toc31448 </w:instrText>
          </w:r>
          <w:r>
            <w:rPr>
              <w:rFonts w:hint="eastAsia" w:ascii="黑体" w:hAnsi="黑体" w:eastAsia="黑体" w:cs="黑体"/>
              <w:sz w:val="24"/>
              <w:szCs w:val="24"/>
            </w:rPr>
            <w:fldChar w:fldCharType="separate"/>
          </w:r>
          <w:r>
            <w:rPr>
              <w:rFonts w:hint="eastAsia" w:ascii="黑体" w:hAnsi="黑体" w:eastAsia="黑体" w:cs="黑体"/>
              <w:bCs w:val="0"/>
              <w:sz w:val="24"/>
              <w:szCs w:val="24"/>
            </w:rPr>
            <w:t>一、 职能简介</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_Toc31448 \h </w:instrText>
          </w:r>
          <w:r>
            <w:rPr>
              <w:rFonts w:hint="eastAsia" w:ascii="黑体" w:hAnsi="黑体" w:eastAsia="黑体" w:cs="黑体"/>
              <w:sz w:val="24"/>
              <w:szCs w:val="24"/>
            </w:rPr>
            <w:fldChar w:fldCharType="separate"/>
          </w:r>
          <w:r>
            <w:rPr>
              <w:rFonts w:hint="eastAsia" w:ascii="黑体" w:hAnsi="黑体" w:eastAsia="黑体" w:cs="黑体"/>
              <w:sz w:val="24"/>
              <w:szCs w:val="24"/>
            </w:rPr>
            <w:t>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_Toc2921 </w:instrText>
          </w:r>
          <w:r>
            <w:rPr>
              <w:rFonts w:hint="eastAsia" w:ascii="黑体" w:hAnsi="黑体" w:eastAsia="黑体" w:cs="黑体"/>
              <w:sz w:val="24"/>
              <w:szCs w:val="24"/>
            </w:rPr>
            <w:fldChar w:fldCharType="separate"/>
          </w:r>
          <w:r>
            <w:rPr>
              <w:rFonts w:hint="eastAsia" w:ascii="黑体" w:hAnsi="黑体" w:eastAsia="黑体" w:cs="黑体"/>
              <w:sz w:val="24"/>
              <w:szCs w:val="24"/>
            </w:rPr>
            <w:t>二、2021年重点工作完成情况</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_Toc2921 \h </w:instrText>
          </w:r>
          <w:r>
            <w:rPr>
              <w:rFonts w:hint="eastAsia" w:ascii="黑体" w:hAnsi="黑体" w:eastAsia="黑体" w:cs="黑体"/>
              <w:sz w:val="24"/>
              <w:szCs w:val="24"/>
            </w:rPr>
            <w:fldChar w:fldCharType="separate"/>
          </w:r>
          <w:r>
            <w:rPr>
              <w:rFonts w:hint="eastAsia" w:ascii="黑体" w:hAnsi="黑体" w:eastAsia="黑体" w:cs="黑体"/>
              <w:sz w:val="24"/>
              <w:szCs w:val="24"/>
            </w:rPr>
            <w:t>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_Toc13902 </w:instrText>
          </w:r>
          <w:r>
            <w:rPr>
              <w:rFonts w:hint="eastAsia" w:ascii="黑体" w:hAnsi="黑体" w:eastAsia="黑体" w:cs="黑体"/>
              <w:sz w:val="24"/>
              <w:szCs w:val="24"/>
            </w:rPr>
            <w:fldChar w:fldCharType="separate"/>
          </w:r>
          <w:r>
            <w:rPr>
              <w:rFonts w:hint="eastAsia" w:ascii="黑体" w:hAnsi="黑体" w:eastAsia="黑体" w:cs="黑体"/>
              <w:sz w:val="24"/>
              <w:szCs w:val="24"/>
            </w:rPr>
            <w:t>二、</w:t>
          </w:r>
          <w:r>
            <w:rPr>
              <w:rFonts w:hint="eastAsia" w:ascii="黑体" w:hAnsi="黑体" w:eastAsia="黑体" w:cs="黑体"/>
              <w:snapToGrid w:val="0"/>
              <w:kern w:val="0"/>
              <w:sz w:val="24"/>
              <w:szCs w:val="24"/>
            </w:rPr>
            <w:t>机构设置</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_Toc13902 \h </w:instrText>
          </w:r>
          <w:r>
            <w:rPr>
              <w:rFonts w:hint="eastAsia" w:ascii="黑体" w:hAnsi="黑体" w:eastAsia="黑体" w:cs="黑体"/>
              <w:sz w:val="24"/>
              <w:szCs w:val="24"/>
            </w:rPr>
            <w:fldChar w:fldCharType="separate"/>
          </w:r>
          <w:r>
            <w:rPr>
              <w:rFonts w:hint="eastAsia" w:ascii="黑体" w:hAnsi="黑体" w:eastAsia="黑体" w:cs="黑体"/>
              <w:sz w:val="24"/>
              <w:szCs w:val="24"/>
            </w:rPr>
            <w:t>5</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7"/>
            <w:tabs>
              <w:tab w:val="right" w:leader="dot" w:pos="8306"/>
            </w:tabs>
            <w:rPr>
              <w:rFonts w:hint="eastAsia" w:ascii="黑体" w:hAnsi="黑体" w:eastAsia="黑体" w:cs="黑体"/>
              <w:b/>
              <w:sz w:val="24"/>
              <w:szCs w:val="24"/>
            </w:rPr>
          </w:pPr>
          <w:r>
            <w:rPr>
              <w:rFonts w:hint="eastAsia" w:ascii="黑体" w:hAnsi="黑体" w:eastAsia="黑体" w:cs="黑体"/>
              <w:b/>
              <w:sz w:val="24"/>
              <w:szCs w:val="24"/>
            </w:rPr>
            <w:fldChar w:fldCharType="begin"/>
          </w:r>
          <w:r>
            <w:rPr>
              <w:rFonts w:hint="eastAsia" w:ascii="黑体" w:hAnsi="黑体" w:eastAsia="黑体" w:cs="黑体"/>
              <w:b/>
              <w:sz w:val="24"/>
              <w:szCs w:val="24"/>
            </w:rPr>
            <w:instrText xml:space="preserve"> HYPERLINK \l _Toc5316 </w:instrText>
          </w:r>
          <w:r>
            <w:rPr>
              <w:rFonts w:hint="eastAsia" w:ascii="黑体" w:hAnsi="黑体" w:eastAsia="黑体" w:cs="黑体"/>
              <w:b/>
              <w:sz w:val="24"/>
              <w:szCs w:val="24"/>
            </w:rPr>
            <w:fldChar w:fldCharType="separate"/>
          </w:r>
          <w:r>
            <w:rPr>
              <w:rFonts w:hint="eastAsia" w:ascii="黑体" w:hAnsi="黑体" w:eastAsia="黑体" w:cs="黑体"/>
              <w:b/>
              <w:sz w:val="24"/>
              <w:szCs w:val="24"/>
            </w:rPr>
            <w:t>第二部分 2021年度</w:t>
          </w:r>
          <w:r>
            <w:rPr>
              <w:rFonts w:hint="eastAsia" w:ascii="黑体" w:hAnsi="黑体" w:eastAsia="黑体" w:cs="黑体"/>
              <w:b/>
              <w:bCs/>
              <w:sz w:val="24"/>
              <w:szCs w:val="24"/>
            </w:rPr>
            <w:t>单位决算情况说明</w:t>
          </w:r>
          <w:r>
            <w:rPr>
              <w:rFonts w:hint="eastAsia" w:ascii="黑体" w:hAnsi="黑体" w:eastAsia="黑体" w:cs="黑体"/>
              <w:b/>
              <w:sz w:val="24"/>
              <w:szCs w:val="24"/>
            </w:rPr>
            <w:tab/>
          </w:r>
          <w:r>
            <w:rPr>
              <w:rFonts w:hint="eastAsia" w:ascii="黑体" w:hAnsi="黑体" w:eastAsia="黑体" w:cs="黑体"/>
              <w:b/>
              <w:sz w:val="24"/>
              <w:szCs w:val="24"/>
            </w:rPr>
            <w:fldChar w:fldCharType="begin"/>
          </w:r>
          <w:r>
            <w:rPr>
              <w:rFonts w:hint="eastAsia" w:ascii="黑体" w:hAnsi="黑体" w:eastAsia="黑体" w:cs="黑体"/>
              <w:b/>
              <w:sz w:val="24"/>
              <w:szCs w:val="24"/>
            </w:rPr>
            <w:instrText xml:space="preserve"> PAGEREF _Toc5316 \h </w:instrText>
          </w:r>
          <w:r>
            <w:rPr>
              <w:rFonts w:hint="eastAsia" w:ascii="黑体" w:hAnsi="黑体" w:eastAsia="黑体" w:cs="黑体"/>
              <w:b/>
              <w:sz w:val="24"/>
              <w:szCs w:val="24"/>
            </w:rPr>
            <w:fldChar w:fldCharType="separate"/>
          </w:r>
          <w:r>
            <w:rPr>
              <w:rFonts w:hint="eastAsia" w:ascii="黑体" w:hAnsi="黑体" w:eastAsia="黑体" w:cs="黑体"/>
              <w:b/>
              <w:sz w:val="24"/>
              <w:szCs w:val="24"/>
            </w:rPr>
            <w:t>7</w:t>
          </w:r>
          <w:r>
            <w:rPr>
              <w:rFonts w:hint="eastAsia" w:ascii="黑体" w:hAnsi="黑体" w:eastAsia="黑体" w:cs="黑体"/>
              <w:b/>
              <w:sz w:val="24"/>
              <w:szCs w:val="24"/>
            </w:rPr>
            <w:fldChar w:fldCharType="end"/>
          </w:r>
          <w:r>
            <w:rPr>
              <w:rFonts w:hint="eastAsia" w:ascii="黑体" w:hAnsi="黑体" w:eastAsia="黑体" w:cs="黑体"/>
              <w:b/>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_Toc15647 </w:instrText>
          </w:r>
          <w:r>
            <w:rPr>
              <w:rFonts w:hint="eastAsia" w:ascii="黑体" w:hAnsi="黑体" w:eastAsia="黑体" w:cs="黑体"/>
              <w:sz w:val="24"/>
              <w:szCs w:val="24"/>
            </w:rPr>
            <w:fldChar w:fldCharType="separate"/>
          </w:r>
          <w:r>
            <w:rPr>
              <w:rFonts w:hint="eastAsia" w:ascii="黑体" w:hAnsi="黑体" w:eastAsia="黑体" w:cs="黑体"/>
              <w:sz w:val="24"/>
              <w:szCs w:val="24"/>
            </w:rPr>
            <w:t>一、 收入支出决算总体情况说明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_Toc15647 \h </w:instrText>
          </w:r>
          <w:r>
            <w:rPr>
              <w:rFonts w:hint="eastAsia" w:ascii="黑体" w:hAnsi="黑体" w:eastAsia="黑体" w:cs="黑体"/>
              <w:sz w:val="24"/>
              <w:szCs w:val="24"/>
            </w:rPr>
            <w:fldChar w:fldCharType="separate"/>
          </w:r>
          <w:r>
            <w:rPr>
              <w:rFonts w:hint="eastAsia" w:ascii="黑体" w:hAnsi="黑体" w:eastAsia="黑体" w:cs="黑体"/>
              <w:sz w:val="24"/>
              <w:szCs w:val="24"/>
            </w:rPr>
            <w:t>7</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_Toc5448 </w:instrText>
          </w:r>
          <w:r>
            <w:rPr>
              <w:rFonts w:hint="eastAsia" w:ascii="黑体" w:hAnsi="黑体" w:eastAsia="黑体" w:cs="黑体"/>
              <w:sz w:val="24"/>
              <w:szCs w:val="24"/>
            </w:rPr>
            <w:fldChar w:fldCharType="separate"/>
          </w:r>
          <w:r>
            <w:rPr>
              <w:rFonts w:hint="eastAsia" w:ascii="黑体" w:hAnsi="黑体" w:eastAsia="黑体" w:cs="黑体"/>
              <w:sz w:val="24"/>
              <w:szCs w:val="24"/>
            </w:rPr>
            <w:t>二、 收入决算情况说明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_Toc5448 \h </w:instrText>
          </w:r>
          <w:r>
            <w:rPr>
              <w:rFonts w:hint="eastAsia" w:ascii="黑体" w:hAnsi="黑体" w:eastAsia="黑体" w:cs="黑体"/>
              <w:sz w:val="24"/>
              <w:szCs w:val="24"/>
            </w:rPr>
            <w:fldChar w:fldCharType="separate"/>
          </w:r>
          <w:r>
            <w:rPr>
              <w:rFonts w:hint="eastAsia" w:ascii="黑体" w:hAnsi="黑体" w:eastAsia="黑体" w:cs="黑体"/>
              <w:sz w:val="24"/>
              <w:szCs w:val="24"/>
            </w:rPr>
            <w:t>7</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_Toc21597 </w:instrText>
          </w:r>
          <w:r>
            <w:rPr>
              <w:rFonts w:hint="eastAsia" w:ascii="黑体" w:hAnsi="黑体" w:eastAsia="黑体" w:cs="黑体"/>
              <w:sz w:val="24"/>
              <w:szCs w:val="24"/>
            </w:rPr>
            <w:fldChar w:fldCharType="separate"/>
          </w:r>
          <w:r>
            <w:rPr>
              <w:rFonts w:hint="eastAsia" w:ascii="黑体" w:hAnsi="黑体" w:eastAsia="黑体" w:cs="黑体"/>
              <w:sz w:val="24"/>
              <w:szCs w:val="24"/>
            </w:rPr>
            <w:t>三、 支出决算情况说明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_Toc21597 \h </w:instrText>
          </w:r>
          <w:r>
            <w:rPr>
              <w:rFonts w:hint="eastAsia" w:ascii="黑体" w:hAnsi="黑体" w:eastAsia="黑体" w:cs="黑体"/>
              <w:sz w:val="24"/>
              <w:szCs w:val="24"/>
            </w:rPr>
            <w:fldChar w:fldCharType="separate"/>
          </w:r>
          <w:r>
            <w:rPr>
              <w:rFonts w:hint="eastAsia" w:ascii="黑体" w:hAnsi="黑体" w:eastAsia="黑体" w:cs="黑体"/>
              <w:sz w:val="24"/>
              <w:szCs w:val="24"/>
            </w:rPr>
            <w:t>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_Toc11499 </w:instrText>
          </w:r>
          <w:r>
            <w:rPr>
              <w:rFonts w:hint="eastAsia" w:ascii="黑体" w:hAnsi="黑体" w:eastAsia="黑体" w:cs="黑体"/>
              <w:sz w:val="24"/>
              <w:szCs w:val="24"/>
            </w:rPr>
            <w:fldChar w:fldCharType="separate"/>
          </w:r>
          <w:r>
            <w:rPr>
              <w:rFonts w:hint="eastAsia" w:ascii="黑体" w:hAnsi="黑体" w:eastAsia="黑体" w:cs="黑体"/>
              <w:sz w:val="24"/>
              <w:szCs w:val="24"/>
            </w:rPr>
            <w:t>四、财政拨款收入支出决算总体情况说明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_Toc11499 \h </w:instrText>
          </w:r>
          <w:r>
            <w:rPr>
              <w:rFonts w:hint="eastAsia" w:ascii="黑体" w:hAnsi="黑体" w:eastAsia="黑体" w:cs="黑体"/>
              <w:sz w:val="24"/>
              <w:szCs w:val="24"/>
            </w:rPr>
            <w:fldChar w:fldCharType="separate"/>
          </w:r>
          <w:r>
            <w:rPr>
              <w:rFonts w:hint="eastAsia" w:ascii="黑体" w:hAnsi="黑体" w:eastAsia="黑体" w:cs="黑体"/>
              <w:sz w:val="24"/>
              <w:szCs w:val="24"/>
            </w:rPr>
            <w:t>8</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_Toc4210 </w:instrText>
          </w:r>
          <w:r>
            <w:rPr>
              <w:rFonts w:hint="eastAsia" w:ascii="黑体" w:hAnsi="黑体" w:eastAsia="黑体" w:cs="黑体"/>
              <w:sz w:val="24"/>
              <w:szCs w:val="24"/>
            </w:rPr>
            <w:fldChar w:fldCharType="separate"/>
          </w:r>
          <w:r>
            <w:rPr>
              <w:rFonts w:hint="eastAsia" w:ascii="黑体" w:hAnsi="黑体" w:eastAsia="黑体" w:cs="黑体"/>
              <w:sz w:val="24"/>
              <w:szCs w:val="24"/>
            </w:rPr>
            <w:t>五、一般公共预算财政拨款支出决算情况说明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_Toc4210 \h </w:instrText>
          </w:r>
          <w:r>
            <w:rPr>
              <w:rFonts w:hint="eastAsia" w:ascii="黑体" w:hAnsi="黑体" w:eastAsia="黑体" w:cs="黑体"/>
              <w:sz w:val="24"/>
              <w:szCs w:val="24"/>
            </w:rPr>
            <w:fldChar w:fldCharType="separate"/>
          </w:r>
          <w:r>
            <w:rPr>
              <w:rFonts w:hint="eastAsia" w:ascii="黑体" w:hAnsi="黑体" w:eastAsia="黑体" w:cs="黑体"/>
              <w:sz w:val="24"/>
              <w:szCs w:val="24"/>
            </w:rPr>
            <w:t>9</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_Toc6473 </w:instrText>
          </w:r>
          <w:r>
            <w:rPr>
              <w:rFonts w:hint="eastAsia" w:ascii="黑体" w:hAnsi="黑体" w:eastAsia="黑体" w:cs="黑体"/>
              <w:sz w:val="24"/>
              <w:szCs w:val="24"/>
            </w:rPr>
            <w:fldChar w:fldCharType="separate"/>
          </w:r>
          <w:r>
            <w:rPr>
              <w:rFonts w:hint="eastAsia" w:ascii="黑体" w:hAnsi="黑体" w:eastAsia="黑体" w:cs="黑体"/>
              <w:sz w:val="24"/>
              <w:szCs w:val="24"/>
            </w:rPr>
            <w:t>六、一般公共预算财政拨款基本支出决算情况说明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_Toc6473 \h </w:instrText>
          </w:r>
          <w:r>
            <w:rPr>
              <w:rFonts w:hint="eastAsia" w:ascii="黑体" w:hAnsi="黑体" w:eastAsia="黑体" w:cs="黑体"/>
              <w:sz w:val="24"/>
              <w:szCs w:val="24"/>
            </w:rPr>
            <w:fldChar w:fldCharType="separate"/>
          </w:r>
          <w:r>
            <w:rPr>
              <w:rFonts w:hint="eastAsia" w:ascii="黑体" w:hAnsi="黑体" w:eastAsia="黑体" w:cs="黑体"/>
              <w:sz w:val="24"/>
              <w:szCs w:val="24"/>
            </w:rPr>
            <w:t>12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_Toc2593 </w:instrText>
          </w:r>
          <w:r>
            <w:rPr>
              <w:rFonts w:hint="eastAsia" w:ascii="黑体" w:hAnsi="黑体" w:eastAsia="黑体" w:cs="黑体"/>
              <w:sz w:val="24"/>
              <w:szCs w:val="24"/>
            </w:rPr>
            <w:fldChar w:fldCharType="separate"/>
          </w:r>
          <w:r>
            <w:rPr>
              <w:rFonts w:hint="eastAsia" w:ascii="黑体" w:hAnsi="黑体" w:eastAsia="黑体" w:cs="黑体"/>
              <w:sz w:val="24"/>
              <w:szCs w:val="24"/>
            </w:rPr>
            <w:t>七、“三公”经费财政拨款支出决算情况说明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_Toc2593 \h </w:instrText>
          </w:r>
          <w:r>
            <w:rPr>
              <w:rFonts w:hint="eastAsia" w:ascii="黑体" w:hAnsi="黑体" w:eastAsia="黑体" w:cs="黑体"/>
              <w:sz w:val="24"/>
              <w:szCs w:val="24"/>
            </w:rPr>
            <w:fldChar w:fldCharType="separate"/>
          </w:r>
          <w:r>
            <w:rPr>
              <w:rFonts w:hint="eastAsia" w:ascii="黑体" w:hAnsi="黑体" w:eastAsia="黑体" w:cs="黑体"/>
              <w:sz w:val="24"/>
              <w:szCs w:val="24"/>
            </w:rPr>
            <w:t>12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_Toc25568 </w:instrText>
          </w:r>
          <w:r>
            <w:rPr>
              <w:rFonts w:hint="eastAsia" w:ascii="黑体" w:hAnsi="黑体" w:eastAsia="黑体" w:cs="黑体"/>
              <w:sz w:val="24"/>
              <w:szCs w:val="24"/>
            </w:rPr>
            <w:fldChar w:fldCharType="separate"/>
          </w:r>
          <w:r>
            <w:rPr>
              <w:rFonts w:hint="eastAsia" w:ascii="黑体" w:hAnsi="黑体" w:eastAsia="黑体" w:cs="黑体"/>
              <w:sz w:val="24"/>
              <w:szCs w:val="24"/>
            </w:rPr>
            <w:t>八、政府性基金预算支出决算情况说明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_Toc25568 \h </w:instrText>
          </w:r>
          <w:r>
            <w:rPr>
              <w:rFonts w:hint="eastAsia" w:ascii="黑体" w:hAnsi="黑体" w:eastAsia="黑体" w:cs="黑体"/>
              <w:sz w:val="24"/>
              <w:szCs w:val="24"/>
            </w:rPr>
            <w:fldChar w:fldCharType="separate"/>
          </w:r>
          <w:r>
            <w:rPr>
              <w:rFonts w:hint="eastAsia" w:ascii="黑体" w:hAnsi="黑体" w:eastAsia="黑体" w:cs="黑体"/>
              <w:sz w:val="24"/>
              <w:szCs w:val="24"/>
            </w:rPr>
            <w:t>14</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_Toc26431 </w:instrText>
          </w:r>
          <w:r>
            <w:rPr>
              <w:rFonts w:hint="eastAsia" w:ascii="黑体" w:hAnsi="黑体" w:eastAsia="黑体" w:cs="黑体"/>
              <w:sz w:val="24"/>
              <w:szCs w:val="24"/>
            </w:rPr>
            <w:fldChar w:fldCharType="separate"/>
          </w:r>
          <w:r>
            <w:rPr>
              <w:rFonts w:hint="eastAsia" w:ascii="黑体" w:hAnsi="黑体" w:eastAsia="黑体" w:cs="黑体"/>
              <w:sz w:val="24"/>
              <w:szCs w:val="24"/>
            </w:rPr>
            <w:t>九、 国有资本经营预算支出决算情况说明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_Toc26431 \h </w:instrText>
          </w:r>
          <w:r>
            <w:rPr>
              <w:rFonts w:hint="eastAsia" w:ascii="黑体" w:hAnsi="黑体" w:eastAsia="黑体" w:cs="黑体"/>
              <w:sz w:val="24"/>
              <w:szCs w:val="24"/>
            </w:rPr>
            <w:fldChar w:fldCharType="separate"/>
          </w:r>
          <w:r>
            <w:rPr>
              <w:rFonts w:hint="eastAsia" w:ascii="黑体" w:hAnsi="黑体" w:eastAsia="黑体" w:cs="黑体"/>
              <w:sz w:val="24"/>
              <w:szCs w:val="24"/>
            </w:rPr>
            <w:t>15</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_Toc11007 </w:instrText>
          </w:r>
          <w:r>
            <w:rPr>
              <w:rFonts w:hint="eastAsia" w:ascii="黑体" w:hAnsi="黑体" w:eastAsia="黑体" w:cs="黑体"/>
              <w:sz w:val="24"/>
              <w:szCs w:val="24"/>
            </w:rPr>
            <w:fldChar w:fldCharType="separate"/>
          </w:r>
          <w:r>
            <w:rPr>
              <w:rFonts w:hint="eastAsia" w:ascii="黑体" w:hAnsi="黑体" w:eastAsia="黑体" w:cs="黑体"/>
              <w:sz w:val="24"/>
              <w:szCs w:val="24"/>
            </w:rPr>
            <w:t>十、 其他重要事项的情况说明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_Toc11007 \h </w:instrText>
          </w:r>
          <w:r>
            <w:rPr>
              <w:rFonts w:hint="eastAsia" w:ascii="黑体" w:hAnsi="黑体" w:eastAsia="黑体" w:cs="黑体"/>
              <w:sz w:val="24"/>
              <w:szCs w:val="24"/>
            </w:rPr>
            <w:fldChar w:fldCharType="separate"/>
          </w:r>
          <w:r>
            <w:rPr>
              <w:rFonts w:hint="eastAsia" w:ascii="黑体" w:hAnsi="黑体" w:eastAsia="黑体" w:cs="黑体"/>
              <w:sz w:val="24"/>
              <w:szCs w:val="24"/>
            </w:rPr>
            <w:t>15</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7"/>
            <w:tabs>
              <w:tab w:val="right" w:leader="dot" w:pos="8306"/>
            </w:tabs>
            <w:rPr>
              <w:rFonts w:hint="eastAsia" w:ascii="黑体" w:hAnsi="黑体" w:eastAsia="黑体" w:cs="黑体"/>
              <w:b/>
              <w:sz w:val="24"/>
              <w:szCs w:val="24"/>
            </w:rPr>
          </w:pPr>
          <w:r>
            <w:rPr>
              <w:rFonts w:hint="eastAsia" w:ascii="黑体" w:hAnsi="黑体" w:eastAsia="黑体" w:cs="黑体"/>
              <w:b/>
              <w:sz w:val="24"/>
              <w:szCs w:val="24"/>
            </w:rPr>
            <w:fldChar w:fldCharType="begin"/>
          </w:r>
          <w:r>
            <w:rPr>
              <w:rFonts w:hint="eastAsia" w:ascii="黑体" w:hAnsi="黑体" w:eastAsia="黑体" w:cs="黑体"/>
              <w:b/>
              <w:sz w:val="24"/>
              <w:szCs w:val="24"/>
            </w:rPr>
            <w:instrText xml:space="preserve"> HYPERLINK \l _Toc14108 </w:instrText>
          </w:r>
          <w:r>
            <w:rPr>
              <w:rFonts w:hint="eastAsia" w:ascii="黑体" w:hAnsi="黑体" w:eastAsia="黑体" w:cs="黑体"/>
              <w:b/>
              <w:sz w:val="24"/>
              <w:szCs w:val="24"/>
            </w:rPr>
            <w:fldChar w:fldCharType="separate"/>
          </w:r>
          <w:r>
            <w:rPr>
              <w:rFonts w:hint="eastAsia" w:ascii="黑体" w:hAnsi="黑体" w:eastAsia="黑体" w:cs="黑体"/>
              <w:b/>
              <w:sz w:val="24"/>
              <w:szCs w:val="24"/>
            </w:rPr>
            <w:t>第三部分 名词解释</w:t>
          </w:r>
          <w:r>
            <w:rPr>
              <w:rFonts w:hint="eastAsia" w:ascii="黑体" w:hAnsi="黑体" w:eastAsia="黑体" w:cs="黑体"/>
              <w:b/>
              <w:sz w:val="24"/>
              <w:szCs w:val="24"/>
            </w:rPr>
            <w:tab/>
          </w:r>
          <w:r>
            <w:rPr>
              <w:rFonts w:hint="eastAsia" w:ascii="黑体" w:hAnsi="黑体" w:eastAsia="黑体" w:cs="黑体"/>
              <w:b/>
              <w:sz w:val="24"/>
              <w:szCs w:val="24"/>
            </w:rPr>
            <w:fldChar w:fldCharType="begin"/>
          </w:r>
          <w:r>
            <w:rPr>
              <w:rFonts w:hint="eastAsia" w:ascii="黑体" w:hAnsi="黑体" w:eastAsia="黑体" w:cs="黑体"/>
              <w:b/>
              <w:sz w:val="24"/>
              <w:szCs w:val="24"/>
            </w:rPr>
            <w:instrText xml:space="preserve"> PAGEREF _Toc14108 \h </w:instrText>
          </w:r>
          <w:r>
            <w:rPr>
              <w:rFonts w:hint="eastAsia" w:ascii="黑体" w:hAnsi="黑体" w:eastAsia="黑体" w:cs="黑体"/>
              <w:b/>
              <w:sz w:val="24"/>
              <w:szCs w:val="24"/>
            </w:rPr>
            <w:fldChar w:fldCharType="separate"/>
          </w:r>
          <w:r>
            <w:rPr>
              <w:rFonts w:hint="eastAsia" w:ascii="黑体" w:hAnsi="黑体" w:eastAsia="黑体" w:cs="黑体"/>
              <w:b/>
              <w:sz w:val="24"/>
              <w:szCs w:val="24"/>
            </w:rPr>
            <w:t>17</w:t>
          </w:r>
          <w:r>
            <w:rPr>
              <w:rFonts w:hint="eastAsia" w:ascii="黑体" w:hAnsi="黑体" w:eastAsia="黑体" w:cs="黑体"/>
              <w:b/>
              <w:sz w:val="24"/>
              <w:szCs w:val="24"/>
            </w:rPr>
            <w:fldChar w:fldCharType="end"/>
          </w:r>
          <w:r>
            <w:rPr>
              <w:rFonts w:hint="eastAsia" w:ascii="黑体" w:hAnsi="黑体" w:eastAsia="黑体" w:cs="黑体"/>
              <w:b/>
              <w:sz w:val="24"/>
              <w:szCs w:val="24"/>
            </w:rPr>
            <w:fldChar w:fldCharType="end"/>
          </w:r>
        </w:p>
        <w:p>
          <w:pPr>
            <w:pStyle w:val="27"/>
            <w:tabs>
              <w:tab w:val="right" w:leader="dot" w:pos="8306"/>
            </w:tabs>
            <w:rPr>
              <w:rFonts w:hint="eastAsia" w:ascii="黑体" w:hAnsi="黑体" w:eastAsia="黑体" w:cs="黑体"/>
              <w:b/>
              <w:sz w:val="24"/>
              <w:szCs w:val="24"/>
            </w:rPr>
          </w:pPr>
          <w:r>
            <w:rPr>
              <w:rFonts w:hint="eastAsia" w:ascii="黑体" w:hAnsi="黑体" w:eastAsia="黑体" w:cs="黑体"/>
              <w:b/>
              <w:sz w:val="24"/>
              <w:szCs w:val="24"/>
            </w:rPr>
            <w:fldChar w:fldCharType="begin"/>
          </w:r>
          <w:r>
            <w:rPr>
              <w:rFonts w:hint="eastAsia" w:ascii="黑体" w:hAnsi="黑体" w:eastAsia="黑体" w:cs="黑体"/>
              <w:b/>
              <w:sz w:val="24"/>
              <w:szCs w:val="24"/>
            </w:rPr>
            <w:instrText xml:space="preserve"> HYPERLINK \l _Toc2525 </w:instrText>
          </w:r>
          <w:r>
            <w:rPr>
              <w:rFonts w:hint="eastAsia" w:ascii="黑体" w:hAnsi="黑体" w:eastAsia="黑体" w:cs="黑体"/>
              <w:b/>
              <w:sz w:val="24"/>
              <w:szCs w:val="24"/>
            </w:rPr>
            <w:fldChar w:fldCharType="separate"/>
          </w:r>
          <w:r>
            <w:rPr>
              <w:rFonts w:hint="eastAsia" w:ascii="黑体" w:hAnsi="黑体" w:eastAsia="黑体" w:cs="黑体"/>
              <w:b/>
              <w:sz w:val="24"/>
              <w:szCs w:val="24"/>
            </w:rPr>
            <w:t>第四部分 附件</w:t>
          </w:r>
          <w:r>
            <w:rPr>
              <w:rFonts w:hint="eastAsia" w:ascii="黑体" w:hAnsi="黑体" w:eastAsia="黑体" w:cs="黑体"/>
              <w:b/>
              <w:sz w:val="24"/>
              <w:szCs w:val="24"/>
            </w:rPr>
            <w:tab/>
          </w:r>
          <w:r>
            <w:rPr>
              <w:rFonts w:hint="eastAsia" w:ascii="黑体" w:hAnsi="黑体" w:eastAsia="黑体" w:cs="黑体"/>
              <w:b/>
              <w:sz w:val="24"/>
              <w:szCs w:val="24"/>
            </w:rPr>
            <w:fldChar w:fldCharType="begin"/>
          </w:r>
          <w:r>
            <w:rPr>
              <w:rFonts w:hint="eastAsia" w:ascii="黑体" w:hAnsi="黑体" w:eastAsia="黑体" w:cs="黑体"/>
              <w:b/>
              <w:sz w:val="24"/>
              <w:szCs w:val="24"/>
            </w:rPr>
            <w:instrText xml:space="preserve"> PAGEREF _Toc2525 \h </w:instrText>
          </w:r>
          <w:r>
            <w:rPr>
              <w:rFonts w:hint="eastAsia" w:ascii="黑体" w:hAnsi="黑体" w:eastAsia="黑体" w:cs="黑体"/>
              <w:b/>
              <w:sz w:val="24"/>
              <w:szCs w:val="24"/>
            </w:rPr>
            <w:fldChar w:fldCharType="separate"/>
          </w:r>
          <w:r>
            <w:rPr>
              <w:rFonts w:hint="eastAsia" w:ascii="黑体" w:hAnsi="黑体" w:eastAsia="黑体" w:cs="黑体"/>
              <w:b/>
              <w:sz w:val="24"/>
              <w:szCs w:val="24"/>
            </w:rPr>
            <w:t>20</w:t>
          </w:r>
          <w:r>
            <w:rPr>
              <w:rFonts w:hint="eastAsia" w:ascii="黑体" w:hAnsi="黑体" w:eastAsia="黑体" w:cs="黑体"/>
              <w:b/>
              <w:sz w:val="24"/>
              <w:szCs w:val="24"/>
            </w:rPr>
            <w:fldChar w:fldCharType="end"/>
          </w:r>
          <w:r>
            <w:rPr>
              <w:rFonts w:hint="eastAsia" w:ascii="黑体" w:hAnsi="黑体" w:eastAsia="黑体" w:cs="黑体"/>
              <w:b/>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_Toc29891 </w:instrText>
          </w:r>
          <w:r>
            <w:rPr>
              <w:rFonts w:hint="eastAsia" w:ascii="黑体" w:hAnsi="黑体" w:eastAsia="黑体" w:cs="黑体"/>
              <w:sz w:val="24"/>
              <w:szCs w:val="24"/>
            </w:rPr>
            <w:fldChar w:fldCharType="separate"/>
          </w:r>
          <w:r>
            <w:rPr>
              <w:rFonts w:hint="eastAsia" w:ascii="黑体" w:hAnsi="黑体" w:eastAsia="黑体" w:cs="黑体"/>
              <w:sz w:val="24"/>
              <w:szCs w:val="24"/>
            </w:rPr>
            <w:t>一、 项目概况</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_Toc29891 \h </w:instrText>
          </w:r>
          <w:r>
            <w:rPr>
              <w:rFonts w:hint="eastAsia" w:ascii="黑体" w:hAnsi="黑体" w:eastAsia="黑体" w:cs="黑体"/>
              <w:sz w:val="24"/>
              <w:szCs w:val="24"/>
            </w:rPr>
            <w:fldChar w:fldCharType="separate"/>
          </w:r>
          <w:r>
            <w:rPr>
              <w:rFonts w:hint="eastAsia" w:ascii="黑体" w:hAnsi="黑体" w:eastAsia="黑体" w:cs="黑体"/>
              <w:sz w:val="24"/>
              <w:szCs w:val="24"/>
            </w:rPr>
            <w:t>20</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_Toc28993 </w:instrText>
          </w:r>
          <w:r>
            <w:rPr>
              <w:rFonts w:hint="eastAsia" w:ascii="黑体" w:hAnsi="黑体" w:eastAsia="黑体" w:cs="黑体"/>
              <w:sz w:val="24"/>
              <w:szCs w:val="24"/>
            </w:rPr>
            <w:fldChar w:fldCharType="separate"/>
          </w:r>
          <w:r>
            <w:rPr>
              <w:rFonts w:hint="eastAsia" w:ascii="黑体" w:hAnsi="黑体" w:eastAsia="黑体" w:cs="黑体"/>
              <w:sz w:val="24"/>
              <w:szCs w:val="24"/>
            </w:rPr>
            <w:t>二、 项目实施及管理情况</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_Toc28993 \h </w:instrText>
          </w:r>
          <w:r>
            <w:rPr>
              <w:rFonts w:hint="eastAsia" w:ascii="黑体" w:hAnsi="黑体" w:eastAsia="黑体" w:cs="黑体"/>
              <w:sz w:val="24"/>
              <w:szCs w:val="24"/>
            </w:rPr>
            <w:fldChar w:fldCharType="separate"/>
          </w:r>
          <w:r>
            <w:rPr>
              <w:rFonts w:hint="eastAsia" w:ascii="黑体" w:hAnsi="黑体" w:eastAsia="黑体" w:cs="黑体"/>
              <w:sz w:val="24"/>
              <w:szCs w:val="24"/>
            </w:rPr>
            <w:t>21</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_Toc20513 </w:instrText>
          </w:r>
          <w:r>
            <w:rPr>
              <w:rFonts w:hint="eastAsia" w:ascii="黑体" w:hAnsi="黑体" w:eastAsia="黑体" w:cs="黑体"/>
              <w:sz w:val="24"/>
              <w:szCs w:val="24"/>
            </w:rPr>
            <w:fldChar w:fldCharType="separate"/>
          </w:r>
          <w:r>
            <w:rPr>
              <w:rFonts w:hint="eastAsia" w:ascii="黑体" w:hAnsi="黑体" w:eastAsia="黑体" w:cs="黑体"/>
              <w:bCs/>
              <w:sz w:val="24"/>
              <w:szCs w:val="24"/>
            </w:rPr>
            <w:t>三、项目绩效情况</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_Toc20513 \h </w:instrText>
          </w:r>
          <w:r>
            <w:rPr>
              <w:rFonts w:hint="eastAsia" w:ascii="黑体" w:hAnsi="黑体" w:eastAsia="黑体" w:cs="黑体"/>
              <w:sz w:val="24"/>
              <w:szCs w:val="24"/>
            </w:rPr>
            <w:fldChar w:fldCharType="separate"/>
          </w:r>
          <w:r>
            <w:rPr>
              <w:rFonts w:hint="eastAsia" w:ascii="黑体" w:hAnsi="黑体" w:eastAsia="黑体" w:cs="黑体"/>
              <w:sz w:val="24"/>
              <w:szCs w:val="24"/>
            </w:rPr>
            <w:t>21</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8"/>
            <w:tabs>
              <w:tab w:val="right" w:leader="dot" w:pos="8306"/>
            </w:tabs>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_Toc21158 </w:instrText>
          </w:r>
          <w:r>
            <w:rPr>
              <w:rFonts w:hint="eastAsia" w:ascii="黑体" w:hAnsi="黑体" w:eastAsia="黑体" w:cs="黑体"/>
              <w:sz w:val="24"/>
              <w:szCs w:val="24"/>
            </w:rPr>
            <w:fldChar w:fldCharType="separate"/>
          </w:r>
          <w:r>
            <w:rPr>
              <w:rFonts w:hint="eastAsia" w:ascii="黑体" w:hAnsi="黑体" w:eastAsia="黑体" w:cs="黑体"/>
              <w:sz w:val="24"/>
              <w:szCs w:val="24"/>
            </w:rPr>
            <w:t>四、 问题及建议</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_Toc21158 \h </w:instrText>
          </w:r>
          <w:r>
            <w:rPr>
              <w:rFonts w:hint="eastAsia" w:ascii="黑体" w:hAnsi="黑体" w:eastAsia="黑体" w:cs="黑体"/>
              <w:sz w:val="24"/>
              <w:szCs w:val="24"/>
            </w:rPr>
            <w:fldChar w:fldCharType="separate"/>
          </w:r>
          <w:r>
            <w:rPr>
              <w:rFonts w:hint="eastAsia" w:ascii="黑体" w:hAnsi="黑体" w:eastAsia="黑体" w:cs="黑体"/>
              <w:sz w:val="24"/>
              <w:szCs w:val="24"/>
            </w:rPr>
            <w:t>22</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pPr>
            <w:pStyle w:val="27"/>
            <w:tabs>
              <w:tab w:val="right" w:leader="dot" w:pos="8306"/>
            </w:tabs>
            <w:rPr>
              <w:rFonts w:hint="eastAsia" w:ascii="黑体" w:hAnsi="黑体" w:eastAsia="黑体" w:cs="黑体"/>
              <w:b/>
              <w:sz w:val="24"/>
              <w:szCs w:val="24"/>
            </w:rPr>
          </w:pPr>
          <w:r>
            <w:rPr>
              <w:rFonts w:hint="eastAsia" w:ascii="黑体" w:hAnsi="黑体" w:eastAsia="黑体" w:cs="黑体"/>
              <w:b/>
              <w:sz w:val="24"/>
              <w:szCs w:val="24"/>
            </w:rPr>
            <w:fldChar w:fldCharType="begin"/>
          </w:r>
          <w:r>
            <w:rPr>
              <w:rFonts w:hint="eastAsia" w:ascii="黑体" w:hAnsi="黑体" w:eastAsia="黑体" w:cs="黑体"/>
              <w:b/>
              <w:sz w:val="24"/>
              <w:szCs w:val="24"/>
            </w:rPr>
            <w:instrText xml:space="preserve"> HYPERLINK \l _Toc22812 </w:instrText>
          </w:r>
          <w:r>
            <w:rPr>
              <w:rFonts w:hint="eastAsia" w:ascii="黑体" w:hAnsi="黑体" w:eastAsia="黑体" w:cs="黑体"/>
              <w:b/>
              <w:sz w:val="24"/>
              <w:szCs w:val="24"/>
            </w:rPr>
            <w:fldChar w:fldCharType="separate"/>
          </w:r>
          <w:r>
            <w:rPr>
              <w:rFonts w:hint="eastAsia" w:ascii="黑体" w:hAnsi="黑体" w:eastAsia="黑体" w:cs="黑体"/>
              <w:b/>
              <w:sz w:val="24"/>
              <w:szCs w:val="24"/>
            </w:rPr>
            <w:t>第五部分 附表</w:t>
          </w:r>
          <w:r>
            <w:rPr>
              <w:rFonts w:hint="eastAsia" w:ascii="黑体" w:hAnsi="黑体" w:eastAsia="黑体" w:cs="黑体"/>
              <w:b/>
              <w:sz w:val="24"/>
              <w:szCs w:val="24"/>
            </w:rPr>
            <w:tab/>
          </w:r>
          <w:r>
            <w:rPr>
              <w:rFonts w:hint="eastAsia" w:ascii="黑体" w:hAnsi="黑体" w:eastAsia="黑体" w:cs="黑体"/>
              <w:b/>
              <w:sz w:val="24"/>
              <w:szCs w:val="24"/>
            </w:rPr>
            <w:fldChar w:fldCharType="begin"/>
          </w:r>
          <w:r>
            <w:rPr>
              <w:rFonts w:hint="eastAsia" w:ascii="黑体" w:hAnsi="黑体" w:eastAsia="黑体" w:cs="黑体"/>
              <w:b/>
              <w:sz w:val="24"/>
              <w:szCs w:val="24"/>
            </w:rPr>
            <w:instrText xml:space="preserve"> PAGEREF _Toc22812 \h </w:instrText>
          </w:r>
          <w:r>
            <w:rPr>
              <w:rFonts w:hint="eastAsia" w:ascii="黑体" w:hAnsi="黑体" w:eastAsia="黑体" w:cs="黑体"/>
              <w:b/>
              <w:sz w:val="24"/>
              <w:szCs w:val="24"/>
            </w:rPr>
            <w:fldChar w:fldCharType="separate"/>
          </w:r>
          <w:r>
            <w:rPr>
              <w:rFonts w:hint="eastAsia" w:ascii="黑体" w:hAnsi="黑体" w:eastAsia="黑体" w:cs="黑体"/>
              <w:b/>
              <w:sz w:val="24"/>
              <w:szCs w:val="24"/>
            </w:rPr>
            <w:t>25</w:t>
          </w:r>
          <w:r>
            <w:rPr>
              <w:rFonts w:hint="eastAsia" w:ascii="黑体" w:hAnsi="黑体" w:eastAsia="黑体" w:cs="黑体"/>
              <w:b/>
              <w:sz w:val="24"/>
              <w:szCs w:val="24"/>
            </w:rPr>
            <w:fldChar w:fldCharType="end"/>
          </w:r>
          <w:r>
            <w:rPr>
              <w:rFonts w:hint="eastAsia" w:ascii="黑体" w:hAnsi="黑体" w:eastAsia="黑体" w:cs="黑体"/>
              <w:b/>
              <w:sz w:val="24"/>
              <w:szCs w:val="24"/>
            </w:rPr>
            <w:fldChar w:fldCharType="end"/>
          </w:r>
        </w:p>
        <w:p>
          <w:pPr>
            <w:widowControl/>
            <w:jc w:val="center"/>
            <w:rPr>
              <w:rFonts w:hint="eastAsia" w:ascii="黑体" w:hAnsi="黑体" w:eastAsia="黑体" w:cs="黑体"/>
              <w:sz w:val="28"/>
              <w:szCs w:val="28"/>
            </w:rPr>
          </w:pPr>
          <w:r>
            <w:rPr>
              <w:rFonts w:hint="eastAsia" w:ascii="黑体" w:hAnsi="黑体" w:eastAsia="黑体" w:cs="黑体"/>
              <w:b/>
              <w:sz w:val="28"/>
              <w:szCs w:val="28"/>
            </w:rPr>
            <w:fldChar w:fldCharType="end"/>
          </w:r>
        </w:p>
      </w:sdtContent>
    </w:sdt>
    <w:p/>
    <w:p>
      <w:pPr>
        <w:pStyle w:val="2"/>
      </w:pPr>
    </w:p>
    <w:p>
      <w:pPr>
        <w:pStyle w:val="2"/>
      </w:pPr>
    </w:p>
    <w:p>
      <w:pPr>
        <w:pStyle w:val="2"/>
      </w:pPr>
    </w:p>
    <w:p>
      <w:pPr>
        <w:pStyle w:val="2"/>
      </w:pPr>
    </w:p>
    <w:p>
      <w:pPr>
        <w:pStyle w:val="2"/>
      </w:pPr>
    </w:p>
    <w:p>
      <w:pPr>
        <w:pStyle w:val="2"/>
      </w:pPr>
    </w:p>
    <w:p>
      <w:pPr>
        <w:pStyle w:val="3"/>
        <w:pageBreakBefore w:val="0"/>
        <w:kinsoku/>
        <w:wordWrap/>
        <w:overflowPunct/>
        <w:topLinePunct w:val="0"/>
        <w:bidi w:val="0"/>
        <w:adjustRightInd/>
        <w:spacing w:line="560" w:lineRule="exact"/>
        <w:jc w:val="center"/>
        <w:rPr>
          <w:rStyle w:val="18"/>
          <w:rFonts w:ascii="黑体" w:eastAsia="黑体"/>
          <w:b/>
          <w:bCs w:val="0"/>
        </w:rPr>
      </w:pPr>
      <w:bookmarkStart w:id="112" w:name="_GoBack"/>
      <w:bookmarkEnd w:id="112"/>
      <w:bookmarkStart w:id="14" w:name="_Toc15377196"/>
      <w:bookmarkStart w:id="15" w:name="_Toc15396599"/>
      <w:bookmarkStart w:id="16" w:name="_Toc29929"/>
      <w:r>
        <w:rPr>
          <w:rFonts w:hint="eastAsia" w:ascii="黑体" w:eastAsia="黑体"/>
          <w:b w:val="0"/>
        </w:rPr>
        <w:t xml:space="preserve">第一部分 </w:t>
      </w:r>
      <w:r>
        <w:rPr>
          <w:rFonts w:hint="eastAsia" w:ascii="黑体" w:eastAsia="黑体"/>
          <w:b w:val="0"/>
          <w:lang w:val="en-US" w:eastAsia="zh-CN"/>
        </w:rPr>
        <w:t>部门</w:t>
      </w:r>
      <w:r>
        <w:rPr>
          <w:rStyle w:val="18"/>
          <w:rFonts w:hint="eastAsia" w:ascii="黑体" w:eastAsia="黑体"/>
          <w:b w:val="0"/>
          <w:bCs w:val="0"/>
        </w:rPr>
        <w:t>概况</w:t>
      </w:r>
      <w:bookmarkEnd w:id="14"/>
      <w:bookmarkEnd w:id="15"/>
      <w:bookmarkEnd w:id="16"/>
    </w:p>
    <w:p>
      <w:pPr>
        <w:pageBreakBefore w:val="0"/>
        <w:widowControl/>
        <w:kinsoku/>
        <w:wordWrap/>
        <w:overflowPunct/>
        <w:topLinePunct w:val="0"/>
        <w:bidi w:val="0"/>
        <w:adjustRightInd/>
        <w:spacing w:line="560" w:lineRule="exact"/>
        <w:jc w:val="left"/>
        <w:rPr>
          <w:rFonts w:ascii="黑体" w:eastAsia="黑体"/>
          <w:sz w:val="32"/>
          <w:szCs w:val="32"/>
        </w:rPr>
      </w:pPr>
    </w:p>
    <w:p>
      <w:pPr>
        <w:pStyle w:val="4"/>
        <w:pageBreakBefore w:val="0"/>
        <w:numPr>
          <w:ilvl w:val="0"/>
          <w:numId w:val="1"/>
        </w:numPr>
        <w:kinsoku/>
        <w:wordWrap/>
        <w:overflowPunct/>
        <w:topLinePunct w:val="0"/>
        <w:bidi w:val="0"/>
        <w:adjustRightInd/>
        <w:spacing w:line="560" w:lineRule="exact"/>
        <w:rPr>
          <w:rStyle w:val="19"/>
          <w:rFonts w:ascii="黑体" w:eastAsia="黑体"/>
          <w:b w:val="0"/>
          <w:bCs w:val="0"/>
        </w:rPr>
      </w:pPr>
      <w:bookmarkStart w:id="17" w:name="_Toc31448"/>
      <w:bookmarkStart w:id="18" w:name="_Toc15377197"/>
      <w:bookmarkStart w:id="19" w:name="_Toc15396600"/>
      <w:r>
        <w:rPr>
          <w:rStyle w:val="19"/>
          <w:rFonts w:hint="eastAsia" w:ascii="黑体" w:eastAsia="黑体"/>
          <w:b w:val="0"/>
          <w:bCs w:val="0"/>
        </w:rPr>
        <w:t>职能简介</w:t>
      </w:r>
      <w:bookmarkEnd w:id="17"/>
    </w:p>
    <w:p>
      <w:pPr>
        <w:pStyle w:val="24"/>
        <w:pageBreakBefore w:val="0"/>
        <w:widowControl/>
        <w:kinsoku/>
        <w:wordWrap/>
        <w:overflowPunct/>
        <w:topLinePunct w:val="0"/>
        <w:bidi w:val="0"/>
        <w:adjustRightInd/>
        <w:snapToGrid w:val="0"/>
        <w:spacing w:line="560" w:lineRule="exact"/>
        <w:ind w:left="630"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电影服务中心承担着宣传和弘扬社会主义先进文化的重要责任，是党和政府传播精神文明的窗口和宣传阵地。主要负责全州农村公益电影放映、组织管理、影片发行、培训、督导和协助主管局搞好城市影院建设、经营管理等服务性工作。</w:t>
      </w:r>
    </w:p>
    <w:p>
      <w:pPr>
        <w:pStyle w:val="4"/>
        <w:pageBreakBefore w:val="0"/>
        <w:kinsoku/>
        <w:wordWrap/>
        <w:overflowPunct/>
        <w:topLinePunct w:val="0"/>
        <w:bidi w:val="0"/>
        <w:adjustRightInd/>
        <w:spacing w:line="560" w:lineRule="exact"/>
        <w:rPr>
          <w:rFonts w:ascii="黑体" w:eastAsia="黑体"/>
          <w:b w:val="0"/>
        </w:rPr>
      </w:pPr>
      <w:bookmarkStart w:id="20" w:name="_Toc2921"/>
      <w:r>
        <w:rPr>
          <w:rFonts w:hint="eastAsia" w:ascii="黑体" w:eastAsia="黑体"/>
          <w:b w:val="0"/>
        </w:rPr>
        <w:t>二、2021年重点工作</w:t>
      </w:r>
      <w:bookmarkEnd w:id="18"/>
      <w:bookmarkEnd w:id="19"/>
      <w:r>
        <w:rPr>
          <w:rFonts w:hint="eastAsia" w:ascii="黑体" w:eastAsia="黑体"/>
          <w:b w:val="0"/>
        </w:rPr>
        <w:t>完成情况</w:t>
      </w:r>
      <w:bookmarkEnd w:id="20"/>
    </w:p>
    <w:p>
      <w:pPr>
        <w:pageBreakBefore w:val="0"/>
        <w:kinsoku/>
        <w:wordWrap/>
        <w:overflowPunct/>
        <w:topLinePunct w:val="0"/>
        <w:bidi w:val="0"/>
        <w:adjustRightInd/>
        <w:spacing w:line="560" w:lineRule="exact"/>
        <w:ind w:firstLine="640" w:firstLineChars="200"/>
        <w:rPr>
          <w:rFonts w:eastAsia="仿宋_GB2312"/>
          <w:bCs/>
          <w:color w:val="000000" w:themeColor="text1"/>
          <w:sz w:val="32"/>
        </w:rPr>
      </w:pPr>
      <w:r>
        <w:rPr>
          <w:rFonts w:hint="eastAsia" w:ascii="仿宋_GB2312" w:eastAsia="仿宋_GB2312"/>
          <w:color w:val="000000" w:themeColor="text1"/>
          <w:sz w:val="32"/>
          <w:szCs w:val="32"/>
        </w:rPr>
        <w:t>全年来</w:t>
      </w:r>
      <w:r>
        <w:rPr>
          <w:rFonts w:hint="eastAsia" w:ascii="仿宋_GB2312" w:eastAsia="仿宋_GB2312"/>
          <w:color w:val="000000" w:themeColor="text1"/>
          <w:kern w:val="0"/>
          <w:sz w:val="32"/>
          <w:szCs w:val="32"/>
        </w:rPr>
        <w:t>，</w:t>
      </w:r>
      <w:r>
        <w:rPr>
          <w:rFonts w:hint="eastAsia" w:ascii="仿宋_GB2312" w:eastAsia="仿宋_GB2312"/>
          <w:color w:val="000000" w:themeColor="text1"/>
          <w:kern w:val="0"/>
          <w:sz w:val="32"/>
          <w:szCs w:val="32"/>
          <w:lang w:val="uk-UA" w:eastAsia="uk-UA"/>
        </w:rPr>
        <w:t>农村</w:t>
      </w:r>
      <w:r>
        <w:rPr>
          <w:rFonts w:hint="eastAsia" w:ascii="仿宋_GB2312" w:eastAsia="仿宋_GB2312"/>
          <w:color w:val="000000" w:themeColor="text1"/>
          <w:kern w:val="0"/>
          <w:sz w:val="32"/>
          <w:szCs w:val="32"/>
        </w:rPr>
        <w:t>公益</w:t>
      </w:r>
      <w:r>
        <w:rPr>
          <w:rFonts w:hint="eastAsia" w:ascii="仿宋_GB2312" w:eastAsia="仿宋_GB2312"/>
          <w:color w:val="000000" w:themeColor="text1"/>
          <w:kern w:val="0"/>
          <w:sz w:val="32"/>
          <w:szCs w:val="32"/>
          <w:lang w:val="uk-UA" w:eastAsia="uk-UA"/>
        </w:rPr>
        <w:t>电影放映市场供应足、订购放映稳、主题放映热、人文关怀暖</w:t>
      </w:r>
      <w:r>
        <w:rPr>
          <w:rFonts w:hint="eastAsia" w:ascii="仿宋_GB2312" w:eastAsia="仿宋_GB2312"/>
          <w:color w:val="000000" w:themeColor="text1"/>
          <w:kern w:val="0"/>
          <w:sz w:val="32"/>
          <w:szCs w:val="32"/>
        </w:rPr>
        <w:t>。</w:t>
      </w:r>
      <w:r>
        <w:rPr>
          <w:rFonts w:hint="eastAsia" w:ascii="仿宋_GB2312" w:eastAsia="仿宋_GB2312"/>
          <w:color w:val="000000" w:themeColor="text1"/>
          <w:sz w:val="32"/>
          <w:szCs w:val="32"/>
        </w:rPr>
        <w:t>3月初，向甘肃省译制中心订购1080场安多语译制影片，以保障壤塘、阿坝、红原等县藏民的影片需求，均衡藏区的电影文化发展。</w:t>
      </w:r>
      <w:r>
        <w:rPr>
          <w:rFonts w:hint="eastAsia" w:ascii="仿宋_GB2312" w:eastAsia="仿宋_GB2312"/>
          <w:color w:val="000000" w:themeColor="text1"/>
          <w:kern w:val="0"/>
          <w:sz w:val="32"/>
          <w:szCs w:val="32"/>
        </w:rPr>
        <w:t>在受新冠疫情的影响下，稳步推进农村电影放映工作开展，全年</w:t>
      </w:r>
      <w:r>
        <w:rPr>
          <w:rFonts w:hint="eastAsia" w:ascii="仿宋_GB2312" w:eastAsia="仿宋_GB2312"/>
          <w:color w:val="232323"/>
          <w:sz w:val="32"/>
          <w:szCs w:val="32"/>
        </w:rPr>
        <w:t>完成放映场次16802场，完成率103.46%</w:t>
      </w:r>
      <w:r>
        <w:rPr>
          <w:rFonts w:hint="eastAsia" w:ascii="仿宋_GB2312" w:eastAsia="仿宋_GB2312"/>
          <w:color w:val="000000" w:themeColor="text1"/>
          <w:kern w:val="0"/>
          <w:sz w:val="32"/>
          <w:szCs w:val="32"/>
        </w:rPr>
        <w:t>，订购节目21956场，下载节目476部，</w:t>
      </w:r>
      <w:r>
        <w:rPr>
          <w:rFonts w:hint="eastAsia" w:ascii="仿宋_GB2312" w:eastAsia="仿宋_GB2312"/>
          <w:color w:val="000000" w:themeColor="text1"/>
          <w:kern w:val="0"/>
          <w:sz w:val="32"/>
          <w:szCs w:val="32"/>
          <w:lang w:val="uk-UA" w:eastAsia="uk-UA"/>
        </w:rPr>
        <w:t>观影人</w:t>
      </w:r>
      <w:r>
        <w:rPr>
          <w:rFonts w:hint="eastAsia" w:ascii="仿宋_GB2312" w:eastAsia="仿宋_GB2312"/>
          <w:color w:val="000000" w:themeColor="text1"/>
          <w:kern w:val="0"/>
          <w:sz w:val="32"/>
          <w:szCs w:val="32"/>
        </w:rPr>
        <w:t>次</w:t>
      </w:r>
      <w:r>
        <w:rPr>
          <w:rFonts w:hint="eastAsia" w:ascii="仿宋_GB2312" w:eastAsia="仿宋_GB2312"/>
          <w:color w:val="000000" w:themeColor="text1"/>
          <w:kern w:val="0"/>
          <w:sz w:val="32"/>
          <w:szCs w:val="32"/>
          <w:lang w:val="uk-UA" w:eastAsia="uk-UA"/>
        </w:rPr>
        <w:t>达</w:t>
      </w:r>
      <w:r>
        <w:rPr>
          <w:rFonts w:hint="eastAsia" w:ascii="仿宋_GB2312" w:eastAsia="仿宋_GB2312"/>
          <w:color w:val="000000" w:themeColor="text1"/>
          <w:kern w:val="0"/>
          <w:sz w:val="32"/>
          <w:szCs w:val="32"/>
        </w:rPr>
        <w:t>47.83万人，圆满完成任务</w:t>
      </w:r>
      <w:r>
        <w:rPr>
          <w:rFonts w:hint="eastAsia" w:ascii="仿宋_GB2312" w:eastAsia="仿宋_GB2312"/>
          <w:color w:val="000000" w:themeColor="text1"/>
          <w:kern w:val="0"/>
          <w:sz w:val="32"/>
          <w:szCs w:val="32"/>
          <w:lang w:val="uk-UA" w:eastAsia="uk-UA"/>
        </w:rPr>
        <w:t>。</w:t>
      </w:r>
      <w:r>
        <w:rPr>
          <w:rFonts w:hint="eastAsia" w:ascii="仿宋_GB2312" w:eastAsia="仿宋_GB2312"/>
          <w:bCs/>
          <w:color w:val="000000" w:themeColor="text1"/>
          <w:sz w:val="32"/>
          <w:szCs w:val="32"/>
        </w:rPr>
        <w:t>聚焦党史学习教育和乡村振兴主题，组织开展了“庆祝中国共产党成立100周年优秀影片展映</w:t>
      </w:r>
      <w:r>
        <w:rPr>
          <w:rFonts w:hint="eastAsia" w:ascii="仿宋_GB2312" w:eastAsia="仿宋_GB2312"/>
          <w:color w:val="000000" w:themeColor="text1"/>
          <w:sz w:val="32"/>
          <w:szCs w:val="32"/>
        </w:rPr>
        <w:t>”“助力乡村振兴”主题活动，重点放映了《厉害了我的国》《建党伟业》《我和我的家乡》《坚守1200秒》等主题突出的红色电影，潜移默化地把“四史”学习教育和乡村故事宣传给群众，营造共庆建党百年、共创历史伟业的浓厚氛围，丰富了广大人民群众的精神文化生活。强化监管，放映质量不断改善。一是加强监管重审核，着力监管平台的规范化，强化监管平台的监审职能，做到实时监控，认真核实、层层上报，保证放映场次的真实有效。二是通过监管平台，精准收集州内农村电影放映信息，利用大数据分析农村观众的电影消费喜好和趋势，主动早介入、早征集、早推送、早订购。三是严格核实放映信息，对弄虚作假、骗取农村电影补贴专项资金的放映员进行处罚，扣减放映补助，确保放映服务质量，保障购买放映服务与农牧民的实际需求有效对接。重视培训，建立健全责任机制。10月25日，协同州委宣传部在都江堰市成功举办“阿坝州电影工作管理培训班”。组织全州各县（市）电影管理人员、城市影院负责人近30余人参加培训。此次培训班着重</w:t>
      </w:r>
      <w:r>
        <w:rPr>
          <w:rFonts w:hint="eastAsia" w:ascii="仿宋_GB2312" w:eastAsia="仿宋_GB2312"/>
          <w:bCs/>
          <w:sz w:val="32"/>
          <w:szCs w:val="32"/>
        </w:rPr>
        <w:t>加强全州电影干部队伍建设，落实电影工作改革方案要求，进一步理顺管理体制机制，夯实各级主管部门主体责任，</w:t>
      </w:r>
      <w:r>
        <w:rPr>
          <w:rFonts w:hint="eastAsia" w:ascii="仿宋_GB2312" w:eastAsia="仿宋_GB2312"/>
          <w:bCs/>
          <w:color w:val="000000" w:themeColor="text1"/>
          <w:sz w:val="32"/>
          <w:szCs w:val="32"/>
        </w:rPr>
        <w:t>增强责任感和使命感，坚定信心和决心，</w:t>
      </w:r>
      <w:r>
        <w:rPr>
          <w:rFonts w:hint="eastAsia" w:ascii="仿宋_GB2312" w:eastAsia="仿宋_GB2312"/>
          <w:color w:val="000000" w:themeColor="text1"/>
          <w:sz w:val="32"/>
          <w:szCs w:val="32"/>
        </w:rPr>
        <w:t>明确提质增效的目标，</w:t>
      </w:r>
      <w:r>
        <w:rPr>
          <w:rFonts w:hint="eastAsia" w:ascii="仿宋_GB2312" w:eastAsia="仿宋_GB2312"/>
          <w:bCs/>
          <w:sz w:val="32"/>
          <w:szCs w:val="32"/>
        </w:rPr>
        <w:t>加快构建和完善公共文化服务体系。</w:t>
      </w:r>
      <w:r>
        <w:rPr>
          <w:rFonts w:eastAsia="仿宋_GB2312"/>
          <w:bCs/>
          <w:color w:val="000000" w:themeColor="text1"/>
          <w:sz w:val="32"/>
        </w:rPr>
        <w:t>电影市场相对稳定，我州电影票房较去年有所增加，但因新冠疫情冲击、佳片数量有限、外片引进减少、档期效应明显等因素，与正常年份相比，表现乏力。截至12月</w:t>
      </w:r>
      <w:r>
        <w:rPr>
          <w:rFonts w:hint="eastAsia" w:eastAsia="仿宋_GB2312"/>
          <w:bCs/>
          <w:color w:val="000000" w:themeColor="text1"/>
          <w:sz w:val="32"/>
        </w:rPr>
        <w:t>31</w:t>
      </w:r>
      <w:r>
        <w:rPr>
          <w:rFonts w:eastAsia="仿宋_GB2312"/>
          <w:bCs/>
          <w:color w:val="000000" w:themeColor="text1"/>
          <w:sz w:val="32"/>
        </w:rPr>
        <w:t xml:space="preserve">日，马尔康太平洋影城放映场次  </w:t>
      </w:r>
      <w:r>
        <w:rPr>
          <w:rFonts w:hint="eastAsia" w:eastAsia="仿宋_GB2312"/>
          <w:bCs/>
          <w:color w:val="000000" w:themeColor="text1"/>
          <w:sz w:val="32"/>
        </w:rPr>
        <w:t>2182</w:t>
      </w:r>
      <w:r>
        <w:rPr>
          <w:rFonts w:eastAsia="仿宋_GB2312"/>
          <w:bCs/>
          <w:color w:val="000000" w:themeColor="text1"/>
          <w:sz w:val="32"/>
        </w:rPr>
        <w:t>场，观众</w:t>
      </w:r>
      <w:r>
        <w:rPr>
          <w:rFonts w:hint="eastAsia" w:eastAsia="仿宋_GB2312"/>
          <w:bCs/>
          <w:color w:val="000000" w:themeColor="text1"/>
          <w:sz w:val="32"/>
        </w:rPr>
        <w:t>34301</w:t>
      </w:r>
      <w:r>
        <w:rPr>
          <w:rFonts w:eastAsia="仿宋_GB2312"/>
          <w:bCs/>
          <w:color w:val="000000" w:themeColor="text1"/>
          <w:sz w:val="32"/>
        </w:rPr>
        <w:t>人次，票房</w:t>
      </w:r>
      <w:r>
        <w:rPr>
          <w:rFonts w:hint="eastAsia" w:eastAsia="仿宋_GB2312"/>
          <w:bCs/>
          <w:color w:val="000000" w:themeColor="text1"/>
          <w:sz w:val="32"/>
        </w:rPr>
        <w:t>142.72</w:t>
      </w:r>
      <w:r>
        <w:rPr>
          <w:rFonts w:eastAsia="仿宋_GB2312"/>
          <w:bCs/>
          <w:color w:val="000000" w:themeColor="text1"/>
          <w:sz w:val="32"/>
        </w:rPr>
        <w:t>万元，商品</w:t>
      </w:r>
      <w:r>
        <w:rPr>
          <w:rFonts w:hint="eastAsia" w:eastAsia="仿宋_GB2312"/>
          <w:bCs/>
          <w:color w:val="000000" w:themeColor="text1"/>
          <w:sz w:val="32"/>
        </w:rPr>
        <w:t>17.02</w:t>
      </w:r>
      <w:r>
        <w:rPr>
          <w:rFonts w:eastAsia="仿宋_GB2312"/>
          <w:bCs/>
          <w:color w:val="000000" w:themeColor="text1"/>
          <w:sz w:val="32"/>
        </w:rPr>
        <w:t>万元，</w:t>
      </w:r>
      <w:r>
        <w:rPr>
          <w:rFonts w:hint="eastAsia" w:eastAsia="仿宋_GB2312"/>
          <w:bCs/>
          <w:color w:val="000000" w:themeColor="text1"/>
          <w:sz w:val="32"/>
        </w:rPr>
        <w:t>合计：159.74</w:t>
      </w:r>
      <w:r>
        <w:rPr>
          <w:rFonts w:eastAsia="仿宋_GB2312"/>
          <w:bCs/>
          <w:color w:val="000000" w:themeColor="text1"/>
          <w:sz w:val="32"/>
        </w:rPr>
        <w:t>营业收入较去年</w:t>
      </w:r>
      <w:r>
        <w:rPr>
          <w:rFonts w:hint="eastAsia" w:eastAsia="仿宋_GB2312"/>
          <w:bCs/>
          <w:color w:val="000000" w:themeColor="text1"/>
          <w:sz w:val="32"/>
        </w:rPr>
        <w:t>超118.56万元</w:t>
      </w:r>
    </w:p>
    <w:p>
      <w:pPr>
        <w:pageBreakBefore w:val="0"/>
        <w:kinsoku/>
        <w:wordWrap/>
        <w:overflowPunct/>
        <w:topLinePunct w:val="0"/>
        <w:autoSpaceDE w:val="0"/>
        <w:autoSpaceDN w:val="0"/>
        <w:bidi w:val="0"/>
        <w:adjustRightInd/>
        <w:spacing w:line="560" w:lineRule="exact"/>
        <w:ind w:firstLine="640" w:firstLineChars="200"/>
        <w:textAlignment w:val="baseline"/>
        <w:outlineLvl w:val="1"/>
        <w:rPr>
          <w:rFonts w:ascii="黑体" w:eastAsia="黑体" w:cs="黑体"/>
          <w:snapToGrid w:val="0"/>
          <w:kern w:val="0"/>
          <w:sz w:val="32"/>
          <w:szCs w:val="32"/>
        </w:rPr>
      </w:pPr>
      <w:bookmarkStart w:id="21" w:name="_Toc15377200"/>
      <w:bookmarkStart w:id="22" w:name="_Toc15396601"/>
      <w:bookmarkStart w:id="23" w:name="_Toc13902"/>
      <w:r>
        <w:rPr>
          <w:rFonts w:hint="eastAsia" w:ascii="黑体" w:eastAsia="黑体" w:cs="黑体"/>
          <w:sz w:val="32"/>
          <w:szCs w:val="32"/>
        </w:rPr>
        <w:t>二、</w:t>
      </w:r>
      <w:r>
        <w:rPr>
          <w:rFonts w:hint="eastAsia" w:ascii="黑体" w:eastAsia="黑体" w:cs="黑体"/>
          <w:snapToGrid w:val="0"/>
          <w:kern w:val="0"/>
          <w:sz w:val="32"/>
          <w:szCs w:val="32"/>
        </w:rPr>
        <w:t>机构设置</w:t>
      </w:r>
      <w:bookmarkEnd w:id="21"/>
      <w:bookmarkEnd w:id="22"/>
      <w:bookmarkEnd w:id="23"/>
    </w:p>
    <w:p>
      <w:pPr>
        <w:pageBreakBefore w:val="0"/>
        <w:kinsoku/>
        <w:wordWrap/>
        <w:overflowPunct/>
        <w:topLinePunct w:val="0"/>
        <w:bidi w:val="0"/>
        <w:adjustRightInd/>
        <w:spacing w:line="560" w:lineRule="exact"/>
        <w:ind w:firstLine="645"/>
        <w:contextualSpacing/>
        <w:rPr>
          <w:rFonts w:ascii="仿宋_GB2312" w:hAnsi="仿宋" w:eastAsia="仿宋_GB2312" w:cs="仿宋"/>
          <w:sz w:val="32"/>
          <w:szCs w:val="32"/>
        </w:rPr>
      </w:pPr>
      <w:r>
        <w:rPr>
          <w:rFonts w:hint="eastAsia" w:ascii="仿宋_GB2312" w:eastAsia="仿宋_GB2312"/>
          <w:sz w:val="32"/>
          <w:szCs w:val="32"/>
        </w:rPr>
        <w:t>根据（阿编发</w:t>
      </w:r>
      <w:r>
        <w:rPr>
          <w:rFonts w:hint="eastAsia" w:ascii="仿宋_GB2312" w:hAnsi="仿宋" w:eastAsia="仿宋_GB2312" w:cs="仿宋"/>
          <w:sz w:val="32"/>
          <w:szCs w:val="32"/>
        </w:rPr>
        <w:t>〔2019〕28号）文件，核事业编制16名。目前，实有在编在岗15人。其中管理岗位3人，为</w:t>
      </w:r>
      <w:r>
        <w:rPr>
          <w:rFonts w:hint="eastAsia" w:ascii="仿宋_GB2312" w:eastAsia="仿宋_GB2312"/>
          <w:color w:val="000000"/>
          <w:sz w:val="32"/>
          <w:szCs w:val="32"/>
        </w:rPr>
        <w:t>中心领导班子，一正两副，主任为管理岗7级，副主任为管理岗8级；</w:t>
      </w:r>
      <w:r>
        <w:rPr>
          <w:rFonts w:hint="eastAsia" w:ascii="仿宋_GB2312" w:hAnsi="仿宋" w:eastAsia="仿宋_GB2312" w:cs="仿宋"/>
          <w:sz w:val="32"/>
          <w:szCs w:val="32"/>
        </w:rPr>
        <w:t>专业技术岗位12人，工勤技能岗位1人。内设机构：2室、1中心、1院，即：办公室、财务室、农村数字电影中心、马尔康太平洋电影城。</w:t>
      </w:r>
    </w:p>
    <w:p>
      <w:pPr>
        <w:snapToGrid w:val="0"/>
        <w:spacing w:after="150" w:line="576" w:lineRule="exact"/>
        <w:ind w:firstLine="640" w:firstLineChars="200"/>
        <w:rPr>
          <w:rFonts w:ascii="仿宋_GB2312" w:eastAsia="仿宋_GB2312"/>
          <w:color w:val="000000" w:themeColor="text1"/>
          <w:kern w:val="0"/>
          <w:sz w:val="32"/>
          <w:szCs w:val="32"/>
          <w:lang w:eastAsia="uk-UA"/>
        </w:rPr>
      </w:pPr>
    </w:p>
    <w:p>
      <w:pPr>
        <w:widowControl/>
        <w:jc w:val="left"/>
        <w:rPr>
          <w:rFonts w:ascii="仿宋_GB2312" w:eastAsia="仿宋_GB2312"/>
          <w:kern w:val="0"/>
          <w:sz w:val="32"/>
          <w:szCs w:val="32"/>
        </w:rPr>
      </w:pPr>
      <w:r>
        <w:rPr>
          <w:rFonts w:hint="eastAsia" w:ascii="仿宋_GB2312" w:eastAsia="仿宋_GB2312"/>
          <w:sz w:val="32"/>
          <w:szCs w:val="32"/>
        </w:rPr>
        <w:br w:type="page"/>
      </w:r>
    </w:p>
    <w:p>
      <w:pPr>
        <w:pStyle w:val="3"/>
        <w:ind w:right="440"/>
        <w:jc w:val="center"/>
        <w:rPr>
          <w:rStyle w:val="18"/>
          <w:rFonts w:ascii="黑体" w:eastAsia="黑体"/>
          <w:b w:val="0"/>
          <w:bCs/>
        </w:rPr>
      </w:pPr>
      <w:bookmarkStart w:id="24" w:name="_Toc15377204"/>
      <w:bookmarkStart w:id="25" w:name="_Toc15396602"/>
      <w:bookmarkStart w:id="26" w:name="_Toc5316"/>
      <w:r>
        <w:rPr>
          <w:rFonts w:hint="eastAsia" w:ascii="黑体" w:eastAsia="黑体"/>
          <w:b w:val="0"/>
        </w:rPr>
        <w:t>第二部分 2021年度</w:t>
      </w:r>
      <w:r>
        <w:rPr>
          <w:rStyle w:val="18"/>
          <w:rFonts w:hint="eastAsia" w:ascii="黑体" w:eastAsia="黑体"/>
          <w:b w:val="0"/>
          <w:bCs/>
        </w:rPr>
        <w:t>单位决算情况说明</w:t>
      </w:r>
      <w:bookmarkEnd w:id="24"/>
      <w:bookmarkEnd w:id="25"/>
      <w:bookmarkEnd w:id="26"/>
    </w:p>
    <w:p/>
    <w:p>
      <w:pPr>
        <w:pStyle w:val="24"/>
        <w:numPr>
          <w:ilvl w:val="0"/>
          <w:numId w:val="2"/>
        </w:numPr>
        <w:spacing w:line="600" w:lineRule="exact"/>
        <w:ind w:firstLineChars="0"/>
        <w:outlineLvl w:val="1"/>
        <w:rPr>
          <w:rStyle w:val="19"/>
          <w:rFonts w:ascii="黑体" w:eastAsia="黑体"/>
          <w:b w:val="0"/>
        </w:rPr>
      </w:pPr>
      <w:bookmarkStart w:id="27" w:name="_Toc15377205"/>
      <w:bookmarkStart w:id="28" w:name="_Toc15396603"/>
      <w:bookmarkStart w:id="29" w:name="_Toc15647"/>
      <w:r>
        <w:rPr>
          <w:rFonts w:hint="eastAsia" w:ascii="黑体" w:eastAsia="黑体"/>
          <w:sz w:val="32"/>
          <w:szCs w:val="32"/>
        </w:rPr>
        <w:t>收</w:t>
      </w:r>
      <w:r>
        <w:rPr>
          <w:rStyle w:val="19"/>
          <w:rFonts w:hint="eastAsia" w:ascii="黑体" w:eastAsia="黑体"/>
          <w:b w:val="0"/>
        </w:rPr>
        <w:t>入支出决算总体情况说明</w:t>
      </w:r>
      <w:bookmarkEnd w:id="27"/>
      <w:bookmarkEnd w:id="28"/>
      <w:bookmarkEnd w:id="29"/>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2021年度收、支总计</w:t>
      </w:r>
      <w:r>
        <w:rPr>
          <w:rFonts w:hint="eastAsia" w:ascii="仿宋_GB2312" w:hAnsi="宋体" w:eastAsia="仿宋_GB2312" w:cs="宋体"/>
          <w:kern w:val="0"/>
          <w:sz w:val="32"/>
          <w:szCs w:val="32"/>
        </w:rPr>
        <w:t>372.43万元。与2020年相比，收、支总计各增加26.69万元，增长7.72%。</w:t>
      </w:r>
      <w:r>
        <w:rPr>
          <w:rFonts w:hint="eastAsia" w:ascii="仿宋_GB2312" w:eastAsia="仿宋_GB2312"/>
          <w:sz w:val="32"/>
          <w:szCs w:val="32"/>
        </w:rPr>
        <w:t>主要变动原因人员新增2人，影城正常运行，经营收入增加。</w:t>
      </w:r>
    </w:p>
    <w:p>
      <w:pPr>
        <w:spacing w:line="600" w:lineRule="exact"/>
        <w:ind w:firstLine="640" w:firstLineChars="200"/>
        <w:rPr>
          <w:rFonts w:eastAsia="仿宋_GB2312" w:asciiTheme="minorHAnsi" w:hAnsiTheme="minorHAnsi"/>
          <w:sz w:val="32"/>
          <w:szCs w:val="32"/>
        </w:rPr>
      </w:pPr>
      <w:r>
        <w:rPr>
          <w:rFonts w:hint="eastAsia" w:ascii="仿宋_GB2312" w:eastAsia="仿宋_GB2312"/>
          <w:sz w:val="32"/>
          <w:szCs w:val="32"/>
        </w:rPr>
        <w:t>（图1：收、支决算总计变动情况图）（柱</w:t>
      </w:r>
      <w:r>
        <w:rPr>
          <w:rFonts w:hint="eastAsia" w:eastAsia="仿宋_GB2312" w:asciiTheme="minorHAnsi" w:hAnsiTheme="minorHAnsi"/>
          <w:sz w:val="32"/>
          <w:szCs w:val="32"/>
        </w:rPr>
        <w:t>形</w:t>
      </w:r>
      <w:r>
        <w:rPr>
          <w:rFonts w:hint="eastAsia" w:ascii="仿宋_GB2312" w:eastAsia="仿宋_GB2312"/>
          <w:sz w:val="32"/>
          <w:szCs w:val="32"/>
        </w:rPr>
        <w:t>图）</w:t>
      </w:r>
    </w:p>
    <w:p>
      <w:pPr>
        <w:pStyle w:val="2"/>
        <w:spacing w:before="93"/>
        <w:rPr>
          <w:rFonts w:asciiTheme="minorHAnsi" w:hAnsiTheme="minorHAnsi"/>
        </w:rPr>
      </w:pPr>
      <w:r>
        <w:rPr>
          <w:rFonts w:asciiTheme="minorHAnsi" w:hAnsiTheme="minorHAnsi"/>
        </w:rPr>
        <w:drawing>
          <wp:inline distT="0" distB="0" distL="0" distR="0">
            <wp:extent cx="4761230" cy="2594610"/>
            <wp:effectExtent l="19050" t="0" r="2016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numPr>
          <w:ilvl w:val="0"/>
          <w:numId w:val="2"/>
        </w:numPr>
        <w:spacing w:line="600" w:lineRule="exact"/>
        <w:ind w:firstLineChars="0"/>
        <w:outlineLvl w:val="1"/>
        <w:rPr>
          <w:rStyle w:val="19"/>
          <w:rFonts w:ascii="黑体" w:eastAsia="黑体"/>
          <w:b w:val="0"/>
        </w:rPr>
      </w:pPr>
      <w:bookmarkStart w:id="30" w:name="_Toc15396604"/>
      <w:bookmarkStart w:id="31" w:name="_Toc15377206"/>
      <w:bookmarkStart w:id="32" w:name="_Toc5448"/>
      <w:r>
        <w:rPr>
          <w:rFonts w:hint="eastAsia" w:ascii="黑体" w:eastAsia="黑体"/>
          <w:b/>
          <w:sz w:val="32"/>
          <w:szCs w:val="32"/>
        </w:rPr>
        <w:t>收</w:t>
      </w:r>
      <w:r>
        <w:rPr>
          <w:rStyle w:val="19"/>
          <w:rFonts w:hint="eastAsia" w:ascii="黑体" w:eastAsia="黑体"/>
          <w:b w:val="0"/>
        </w:rPr>
        <w:t>入决算情况说明</w:t>
      </w:r>
      <w:bookmarkEnd w:id="30"/>
      <w:bookmarkEnd w:id="31"/>
      <w:bookmarkEnd w:id="32"/>
    </w:p>
    <w:p>
      <w:pPr>
        <w:spacing w:line="600" w:lineRule="exact"/>
        <w:ind w:firstLine="640" w:firstLineChars="200"/>
        <w:outlineLvl w:val="1"/>
        <w:rPr>
          <w:rFonts w:ascii="仿宋_GB2312" w:eastAsia="仿宋_GB2312"/>
          <w:sz w:val="32"/>
          <w:szCs w:val="32"/>
        </w:rPr>
      </w:pPr>
      <w:bookmarkStart w:id="33" w:name="_Toc973"/>
      <w:r>
        <w:rPr>
          <w:rFonts w:hint="eastAsia" w:ascii="仿宋_GB2312" w:eastAsia="仿宋_GB2312"/>
          <w:sz w:val="32"/>
          <w:szCs w:val="32"/>
        </w:rPr>
        <w:t>2021年本年收入合计</w:t>
      </w:r>
      <w:r>
        <w:rPr>
          <w:rFonts w:hint="eastAsia" w:ascii="仿宋_GB2312" w:hAnsi="宋体" w:eastAsia="仿宋_GB2312" w:cs="宋体"/>
          <w:kern w:val="0"/>
          <w:sz w:val="32"/>
          <w:szCs w:val="32"/>
        </w:rPr>
        <w:t>352.85</w:t>
      </w:r>
      <w:r>
        <w:rPr>
          <w:rFonts w:hint="eastAsia" w:ascii="仿宋_GB2312" w:eastAsia="仿宋_GB2312"/>
          <w:sz w:val="32"/>
          <w:szCs w:val="32"/>
        </w:rPr>
        <w:t>万元，其中：一般公共预算财政拨款收入</w:t>
      </w:r>
      <w:r>
        <w:rPr>
          <w:rFonts w:hint="eastAsia" w:ascii="仿宋_GB2312" w:hAnsi="宋体" w:eastAsia="仿宋_GB2312" w:cs="宋体"/>
          <w:kern w:val="0"/>
          <w:sz w:val="32"/>
          <w:szCs w:val="32"/>
        </w:rPr>
        <w:t>352.85</w:t>
      </w:r>
      <w:r>
        <w:rPr>
          <w:rFonts w:hint="eastAsia" w:ascii="仿宋_GB2312" w:eastAsia="仿宋_GB2312"/>
          <w:sz w:val="32"/>
          <w:szCs w:val="32"/>
        </w:rPr>
        <w:t>万元，占100%；政府性基金预算财政拨款收入0.00万元，占0.00%；国有资本经营预算财政拨款收入0.00万元，占0.00%；上级补助收入0.00万元，占0.00%；事业收入0.00万元，占0.00%；经营收入0.00万元，占0.00%；附属单位上缴收入0.00万元，占0.00%；其他收入0.00万元，占0.00%。</w:t>
      </w:r>
      <w:bookmarkEnd w:id="33"/>
    </w:p>
    <w:p>
      <w:pPr>
        <w:spacing w:line="600" w:lineRule="exact"/>
        <w:outlineLvl w:val="1"/>
        <w:rPr>
          <w:rFonts w:ascii="仿宋" w:eastAsia="仿宋"/>
          <w:b/>
          <w:sz w:val="32"/>
          <w:szCs w:val="32"/>
        </w:rPr>
      </w:pPr>
      <w:bookmarkStart w:id="34" w:name="_Toc21297"/>
      <w:r>
        <w:rPr>
          <w:rFonts w:hint="eastAsia" w:ascii="仿宋" w:eastAsia="仿宋"/>
          <w:b/>
          <w:sz w:val="32"/>
          <w:szCs w:val="32"/>
        </w:rPr>
        <w:t>（注：数据来源于财决</w:t>
      </w:r>
      <w:r>
        <w:rPr>
          <w:rFonts w:ascii="仿宋" w:eastAsia="仿宋"/>
          <w:b/>
          <w:sz w:val="32"/>
          <w:szCs w:val="32"/>
        </w:rPr>
        <w:t>01表</w:t>
      </w:r>
      <w:r>
        <w:rPr>
          <w:rFonts w:hint="eastAsia" w:ascii="仿宋" w:eastAsia="仿宋"/>
          <w:b/>
          <w:sz w:val="32"/>
          <w:szCs w:val="32"/>
        </w:rPr>
        <w:t>，仅罗列本单位涉及的收入。</w:t>
      </w:r>
      <w:r>
        <w:rPr>
          <w:rFonts w:ascii="仿宋" w:eastAsia="仿宋"/>
          <w:b/>
          <w:sz w:val="32"/>
          <w:szCs w:val="32"/>
        </w:rPr>
        <w:t>）</w:t>
      </w:r>
      <w:bookmarkEnd w:id="34"/>
    </w:p>
    <w:p>
      <w:pPr>
        <w:pStyle w:val="24"/>
        <w:numPr>
          <w:ilvl w:val="0"/>
          <w:numId w:val="2"/>
        </w:numPr>
        <w:spacing w:line="600" w:lineRule="exact"/>
        <w:ind w:firstLineChars="0"/>
        <w:outlineLvl w:val="1"/>
        <w:rPr>
          <w:rStyle w:val="19"/>
          <w:rFonts w:ascii="黑体" w:eastAsia="黑体"/>
          <w:b w:val="0"/>
        </w:rPr>
      </w:pPr>
      <w:bookmarkStart w:id="35" w:name="_Toc15396605"/>
      <w:bookmarkStart w:id="36" w:name="_Toc15377207"/>
      <w:bookmarkStart w:id="37" w:name="_Toc21597"/>
      <w:r>
        <w:rPr>
          <w:rFonts w:hint="eastAsia" w:ascii="黑体" w:eastAsia="黑体"/>
          <w:sz w:val="32"/>
          <w:szCs w:val="32"/>
        </w:rPr>
        <w:t>支</w:t>
      </w:r>
      <w:r>
        <w:rPr>
          <w:rStyle w:val="19"/>
          <w:rFonts w:hint="eastAsia" w:ascii="黑体" w:eastAsia="黑体"/>
          <w:b w:val="0"/>
        </w:rPr>
        <w:t>出决算情况说明</w:t>
      </w:r>
      <w:bookmarkEnd w:id="35"/>
      <w:bookmarkEnd w:id="36"/>
      <w:bookmarkEnd w:id="37"/>
    </w:p>
    <w:p>
      <w:pPr>
        <w:spacing w:line="600" w:lineRule="exact"/>
        <w:ind w:firstLine="640" w:firstLineChars="200"/>
        <w:outlineLvl w:val="1"/>
        <w:rPr>
          <w:rFonts w:ascii="仿宋_GB2312" w:eastAsia="仿宋_GB2312"/>
          <w:sz w:val="32"/>
          <w:szCs w:val="32"/>
        </w:rPr>
      </w:pPr>
      <w:bookmarkStart w:id="38" w:name="_Toc574"/>
      <w:r>
        <w:rPr>
          <w:rFonts w:hint="eastAsia" w:ascii="仿宋_GB2312" w:eastAsia="仿宋_GB2312"/>
          <w:sz w:val="32"/>
          <w:szCs w:val="32"/>
        </w:rPr>
        <w:t>2021年本年支出合计</w:t>
      </w:r>
      <w:r>
        <w:rPr>
          <w:rFonts w:hint="eastAsia" w:ascii="仿宋_GB2312" w:hAnsi="宋体" w:eastAsia="仿宋_GB2312" w:cs="宋体"/>
          <w:kern w:val="0"/>
          <w:sz w:val="32"/>
          <w:szCs w:val="32"/>
        </w:rPr>
        <w:t>372.43万元，其中：基本支出325.32万元，占 87.35%；项目支出47.12万元，占12.65%；</w:t>
      </w:r>
      <w:r>
        <w:rPr>
          <w:rFonts w:hint="eastAsia" w:ascii="仿宋_GB2312" w:eastAsia="仿宋_GB2312"/>
          <w:sz w:val="32"/>
          <w:szCs w:val="32"/>
        </w:rPr>
        <w:t>上缴上级支出0.00万元，占0.00%；经营支出0.00万元，占0.00%；对附属单位补助支出0.00万元，占0.00%。</w:t>
      </w:r>
      <w:bookmarkEnd w:id="38"/>
    </w:p>
    <w:p>
      <w:pPr>
        <w:spacing w:line="600" w:lineRule="exact"/>
        <w:outlineLvl w:val="1"/>
        <w:rPr>
          <w:rFonts w:ascii="仿宋" w:eastAsia="仿宋"/>
          <w:b/>
          <w:sz w:val="32"/>
          <w:szCs w:val="32"/>
        </w:rPr>
      </w:pPr>
      <w:bookmarkStart w:id="39" w:name="_Toc9757"/>
      <w:r>
        <w:rPr>
          <w:rFonts w:hint="eastAsia" w:ascii="仿宋" w:eastAsia="仿宋"/>
          <w:b/>
          <w:sz w:val="32"/>
          <w:szCs w:val="32"/>
        </w:rPr>
        <w:t>（注：数据来源于财决</w:t>
      </w:r>
      <w:r>
        <w:rPr>
          <w:rFonts w:ascii="仿宋" w:eastAsia="仿宋"/>
          <w:b/>
          <w:sz w:val="32"/>
          <w:szCs w:val="32"/>
        </w:rPr>
        <w:t>04</w:t>
      </w:r>
      <w:r>
        <w:rPr>
          <w:rFonts w:hint="eastAsia" w:ascii="仿宋" w:eastAsia="仿宋"/>
          <w:b/>
          <w:sz w:val="32"/>
          <w:szCs w:val="32"/>
        </w:rPr>
        <w:t>表，仅罗列本单位涉及的支出。）</w:t>
      </w:r>
      <w:bookmarkEnd w:id="39"/>
    </w:p>
    <w:p>
      <w:pPr>
        <w:spacing w:line="600" w:lineRule="exact"/>
        <w:ind w:firstLine="420" w:firstLineChars="200"/>
        <w:rPr>
          <w:rFonts w:eastAsia="仿宋_GB2312" w:asciiTheme="minorHAnsi" w:hAnsiTheme="minorHAnsi"/>
          <w:sz w:val="32"/>
          <w:szCs w:val="32"/>
        </w:rPr>
      </w:pPr>
      <w:r>
        <w:rPr>
          <w:rFonts w:hint="eastAsia"/>
        </w:rPr>
        <w:t xml:space="preserve">  </w:t>
      </w:r>
      <w:r>
        <w:rPr>
          <w:rFonts w:hint="eastAsia" w:ascii="仿宋_GB2312" w:eastAsia="仿宋_GB2312"/>
          <w:sz w:val="32"/>
          <w:szCs w:val="32"/>
        </w:rPr>
        <w:t>（图2：支出决算结构图）（饼状图）</w:t>
      </w:r>
    </w:p>
    <w:p>
      <w:pPr>
        <w:pStyle w:val="2"/>
        <w:spacing w:before="93"/>
      </w:pPr>
      <w:r>
        <w:rPr>
          <w:rFonts w:hint="eastAsia"/>
        </w:rPr>
        <w:drawing>
          <wp:inline distT="0" distB="0" distL="0" distR="0">
            <wp:extent cx="5211445" cy="2957195"/>
            <wp:effectExtent l="19050" t="0" r="26773"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outlineLvl w:val="1"/>
        <w:rPr>
          <w:rStyle w:val="19"/>
          <w:rFonts w:ascii="黑体" w:eastAsia="黑体"/>
          <w:b w:val="0"/>
        </w:rPr>
      </w:pPr>
      <w:bookmarkStart w:id="40" w:name="_Toc15377208"/>
      <w:bookmarkStart w:id="41" w:name="_Toc15396606"/>
      <w:bookmarkStart w:id="42" w:name="_Toc11499"/>
      <w:r>
        <w:rPr>
          <w:rFonts w:hint="eastAsia" w:ascii="黑体" w:eastAsia="黑体"/>
          <w:sz w:val="32"/>
          <w:szCs w:val="32"/>
        </w:rPr>
        <w:t>四、财</w:t>
      </w:r>
      <w:r>
        <w:rPr>
          <w:rStyle w:val="19"/>
          <w:rFonts w:hint="eastAsia" w:ascii="黑体" w:eastAsia="黑体"/>
          <w:b w:val="0"/>
        </w:rPr>
        <w:t>政拨款收入支出决算总体情况说明</w:t>
      </w:r>
      <w:bookmarkEnd w:id="40"/>
      <w:bookmarkEnd w:id="41"/>
      <w:bookmarkEnd w:id="42"/>
    </w:p>
    <w:p>
      <w:pPr>
        <w:spacing w:line="600" w:lineRule="exact"/>
        <w:ind w:firstLine="640"/>
        <w:rPr>
          <w:rFonts w:ascii="仿宋_GB2312" w:eastAsia="仿宋_GB2312"/>
          <w:sz w:val="32"/>
          <w:szCs w:val="32"/>
        </w:rPr>
      </w:pPr>
      <w:r>
        <w:rPr>
          <w:rFonts w:hint="eastAsia" w:ascii="仿宋_GB2312" w:eastAsia="仿宋_GB2312"/>
          <w:sz w:val="32"/>
          <w:szCs w:val="32"/>
        </w:rPr>
        <w:t>2021年财政拨款收、</w:t>
      </w:r>
      <w:r>
        <w:rPr>
          <w:rFonts w:hint="eastAsia" w:ascii="仿宋_GB2312" w:hAnsi="宋体" w:eastAsia="仿宋_GB2312" w:cs="宋体"/>
          <w:kern w:val="0"/>
          <w:sz w:val="32"/>
          <w:szCs w:val="32"/>
        </w:rPr>
        <w:t>支总计372.43万元。与2020年相比，财政拨款收、支总计各增加26.69万元，增长7.72%</w:t>
      </w:r>
      <w:r>
        <w:rPr>
          <w:rFonts w:hint="eastAsia" w:ascii="仿宋_GB2312" w:eastAsia="仿宋_GB2312"/>
          <w:sz w:val="32"/>
          <w:szCs w:val="32"/>
        </w:rPr>
        <w:t>。主要变动原因是人员新增2人，影城正常运行，经营收入增加。</w:t>
      </w:r>
    </w:p>
    <w:p>
      <w:pPr>
        <w:spacing w:line="600" w:lineRule="exact"/>
        <w:ind w:firstLine="640"/>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01-1</w:t>
      </w:r>
      <w:r>
        <w:rPr>
          <w:rFonts w:hint="eastAsia" w:ascii="仿宋" w:eastAsia="仿宋"/>
          <w:b/>
          <w:sz w:val="32"/>
          <w:szCs w:val="32"/>
        </w:rPr>
        <w:t>表</w:t>
      </w:r>
      <w:r>
        <w:rPr>
          <w:rFonts w:ascii="仿宋" w:eastAsia="仿宋"/>
          <w:b/>
          <w:sz w:val="32"/>
          <w:szCs w:val="32"/>
        </w:rPr>
        <w:t>）</w:t>
      </w:r>
    </w:p>
    <w:p>
      <w:pPr>
        <w:spacing w:line="600" w:lineRule="exact"/>
        <w:ind w:firstLine="640" w:firstLineChars="200"/>
        <w:rPr>
          <w:rFonts w:ascii="仿宋" w:eastAsia="仿宋"/>
          <w:sz w:val="32"/>
          <w:szCs w:val="32"/>
        </w:rPr>
      </w:pPr>
      <w:r>
        <w:rPr>
          <w:rFonts w:hint="eastAsia" w:ascii="仿宋" w:eastAsia="仿宋"/>
          <w:sz w:val="32"/>
          <w:szCs w:val="32"/>
        </w:rPr>
        <w:t>（图3：财政拨款收、支决算总计变动情况）（柱状图）</w:t>
      </w:r>
    </w:p>
    <w:p>
      <w:pPr>
        <w:pStyle w:val="2"/>
        <w:keepNext/>
        <w:spacing w:before="93"/>
      </w:pPr>
      <w:r>
        <w:rPr>
          <w:rFonts w:hint="eastAsia"/>
        </w:rPr>
        <w:drawing>
          <wp:inline distT="0" distB="0" distL="0" distR="0">
            <wp:extent cx="5274310" cy="3213100"/>
            <wp:effectExtent l="19050" t="0" r="21227" b="5987"/>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800" w:firstLineChars="250"/>
        <w:outlineLvl w:val="9"/>
        <w:rPr>
          <w:rFonts w:ascii="黑体" w:eastAsia="黑体"/>
          <w:sz w:val="32"/>
          <w:szCs w:val="32"/>
        </w:rPr>
      </w:pPr>
      <w:bookmarkStart w:id="43" w:name="_Toc15396607"/>
      <w:bookmarkStart w:id="44" w:name="_Toc15377209"/>
    </w:p>
    <w:p>
      <w:pPr>
        <w:spacing w:line="600" w:lineRule="exact"/>
        <w:ind w:firstLine="800" w:firstLineChars="250"/>
        <w:outlineLvl w:val="1"/>
        <w:rPr>
          <w:rStyle w:val="19"/>
          <w:rFonts w:ascii="黑体" w:eastAsia="黑体"/>
          <w:b w:val="0"/>
        </w:rPr>
      </w:pPr>
      <w:bookmarkStart w:id="45" w:name="_Toc4210"/>
      <w:r>
        <w:rPr>
          <w:rFonts w:hint="eastAsia" w:ascii="黑体" w:eastAsia="黑体"/>
          <w:sz w:val="32"/>
          <w:szCs w:val="32"/>
        </w:rPr>
        <w:t>五、</w:t>
      </w:r>
      <w:r>
        <w:rPr>
          <w:rFonts w:hint="eastAsia" w:ascii="黑体" w:eastAsia="黑体"/>
          <w:b/>
          <w:sz w:val="32"/>
          <w:szCs w:val="32"/>
        </w:rPr>
        <w:t>一</w:t>
      </w:r>
      <w:r>
        <w:rPr>
          <w:rStyle w:val="19"/>
          <w:rFonts w:hint="eastAsia" w:ascii="黑体" w:eastAsia="黑体"/>
          <w:b w:val="0"/>
        </w:rPr>
        <w:t>般公共预算财政拨款支出决算情况说明</w:t>
      </w:r>
      <w:bookmarkEnd w:id="43"/>
      <w:bookmarkEnd w:id="44"/>
      <w:bookmarkEnd w:id="45"/>
    </w:p>
    <w:p>
      <w:pPr>
        <w:spacing w:line="600" w:lineRule="exact"/>
        <w:ind w:firstLine="643" w:firstLineChars="200"/>
        <w:outlineLvl w:val="2"/>
        <w:rPr>
          <w:rFonts w:ascii="仿宋" w:eastAsia="仿宋"/>
          <w:b/>
          <w:sz w:val="32"/>
          <w:szCs w:val="32"/>
        </w:rPr>
      </w:pPr>
      <w:bookmarkStart w:id="46" w:name="_Toc15377210"/>
      <w:r>
        <w:rPr>
          <w:rFonts w:hint="eastAsia" w:ascii="仿宋" w:eastAsia="仿宋"/>
          <w:b/>
          <w:sz w:val="32"/>
          <w:szCs w:val="32"/>
        </w:rPr>
        <w:t>（一）一般公共预算财政拨款支出决算总体情况</w:t>
      </w:r>
      <w:bookmarkEnd w:id="46"/>
    </w:p>
    <w:p>
      <w:pPr>
        <w:spacing w:line="600" w:lineRule="exact"/>
        <w:ind w:firstLine="640"/>
        <w:rPr>
          <w:rFonts w:ascii="仿宋_GB2312" w:eastAsia="仿宋_GB2312"/>
          <w:sz w:val="32"/>
          <w:szCs w:val="32"/>
        </w:rPr>
      </w:pPr>
      <w:r>
        <w:rPr>
          <w:rFonts w:hint="eastAsia" w:ascii="仿宋_GB2312" w:hAnsi="宋体" w:eastAsia="仿宋_GB2312" w:cs="宋体"/>
          <w:kern w:val="0"/>
          <w:sz w:val="32"/>
          <w:szCs w:val="32"/>
        </w:rPr>
        <w:t>2021年一般公共预算财政拨款支出372.43万元，占本年支出合计的100.00%。与2020年相比，一般公共预算财政拨款支出增加26.69万元，增长7.72%。</w:t>
      </w:r>
      <w:r>
        <w:rPr>
          <w:rFonts w:hint="eastAsia" w:ascii="仿宋_GB2312" w:eastAsia="仿宋_GB2312"/>
          <w:sz w:val="32"/>
          <w:szCs w:val="32"/>
        </w:rPr>
        <w:t>主要变动原因是人员新增2人，影城正常运行，经营收入增加。</w:t>
      </w:r>
    </w:p>
    <w:p>
      <w:pPr>
        <w:spacing w:line="600" w:lineRule="exact"/>
        <w:rPr>
          <w:rFonts w:ascii="仿宋" w:eastAsia="仿宋"/>
          <w:sz w:val="32"/>
          <w:szCs w:val="32"/>
        </w:rPr>
      </w:pPr>
      <w:r>
        <w:rPr>
          <w:rFonts w:hint="eastAsia" w:ascii="仿宋" w:eastAsia="仿宋"/>
          <w:sz w:val="32"/>
          <w:szCs w:val="32"/>
        </w:rPr>
        <w:t>（图4：一般公共预算财政拨款支出决算变动情况）（柱状图）</w:t>
      </w:r>
    </w:p>
    <w:p>
      <w:pPr>
        <w:pStyle w:val="2"/>
        <w:spacing w:before="93"/>
        <w:rPr>
          <w:rFonts w:ascii="仿宋" w:eastAsia="仿宋"/>
          <w:b/>
          <w:sz w:val="32"/>
          <w:szCs w:val="32"/>
        </w:rPr>
      </w:pPr>
      <w:r>
        <w:rPr>
          <w:rFonts w:hint="eastAsia" w:ascii="仿宋" w:eastAsia="仿宋"/>
          <w:sz w:val="32"/>
          <w:szCs w:val="32"/>
        </w:rPr>
        <w:drawing>
          <wp:inline distT="0" distB="0" distL="0" distR="0">
            <wp:extent cx="5501640" cy="3134995"/>
            <wp:effectExtent l="19050" t="0" r="22678" b="8164"/>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47" w:name="_Toc15377211"/>
    </w:p>
    <w:p>
      <w:pPr>
        <w:pStyle w:val="2"/>
        <w:spacing w:before="93"/>
        <w:ind w:firstLine="161" w:firstLineChars="50"/>
      </w:pPr>
      <w:r>
        <w:rPr>
          <w:rFonts w:hint="eastAsia" w:ascii="仿宋" w:eastAsia="仿宋"/>
          <w:b/>
          <w:sz w:val="32"/>
          <w:szCs w:val="32"/>
        </w:rPr>
        <w:t>（二）一般公共预算财政拨款支出决算结构情况</w:t>
      </w:r>
      <w:bookmarkEnd w:id="47"/>
    </w:p>
    <w:p>
      <w:pPr>
        <w:spacing w:line="600" w:lineRule="exact"/>
        <w:ind w:firstLine="640"/>
        <w:rPr>
          <w:rFonts w:ascii="仿宋_GB2312" w:eastAsia="仿宋_GB2312"/>
          <w:b/>
          <w:sz w:val="32"/>
          <w:szCs w:val="32"/>
        </w:rPr>
      </w:pPr>
      <w:r>
        <w:rPr>
          <w:rFonts w:hint="eastAsia" w:ascii="仿宋_GB2312" w:hAnsi="宋体" w:eastAsia="仿宋_GB2312" w:cs="宋体"/>
          <w:kern w:val="0"/>
          <w:sz w:val="32"/>
          <w:szCs w:val="32"/>
        </w:rPr>
        <w:t>2021年一般公共预算财政拨款支出372.43万元，主要用于以下方面:</w:t>
      </w:r>
      <w:r>
        <w:rPr>
          <w:rFonts w:hint="eastAsia" w:ascii="仿宋_GB2312" w:hAnsi="宋体" w:eastAsia="仿宋_GB2312" w:cs="宋体"/>
          <w:b/>
          <w:bCs/>
          <w:kern w:val="0"/>
          <w:sz w:val="32"/>
          <w:szCs w:val="32"/>
        </w:rPr>
        <w:t>一般公共服务（类）</w:t>
      </w:r>
      <w:r>
        <w:rPr>
          <w:rFonts w:hint="eastAsia" w:ascii="仿宋_GB2312" w:hAnsi="宋体" w:eastAsia="仿宋_GB2312" w:cs="宋体"/>
          <w:kern w:val="0"/>
          <w:sz w:val="32"/>
          <w:szCs w:val="32"/>
        </w:rPr>
        <w:t>支出0.00万元，占0.00%；</w:t>
      </w:r>
      <w:r>
        <w:rPr>
          <w:rFonts w:hint="eastAsia" w:ascii="仿宋_GB2312" w:hAnsi="宋体" w:eastAsia="仿宋_GB2312" w:cs="宋体"/>
          <w:b/>
          <w:bCs/>
          <w:kern w:val="0"/>
          <w:sz w:val="32"/>
          <w:szCs w:val="32"/>
        </w:rPr>
        <w:t>教育支出（类）</w:t>
      </w:r>
      <w:r>
        <w:rPr>
          <w:rFonts w:hint="eastAsia" w:ascii="仿宋_GB2312" w:hAnsi="宋体" w:eastAsia="仿宋_GB2312" w:cs="宋体"/>
          <w:kern w:val="0"/>
          <w:sz w:val="32"/>
          <w:szCs w:val="32"/>
        </w:rPr>
        <w:t>0.00万元，占0.00%；</w:t>
      </w:r>
      <w:r>
        <w:rPr>
          <w:rFonts w:hint="eastAsia" w:ascii="仿宋_GB2312" w:hAnsi="宋体" w:eastAsia="仿宋_GB2312" w:cs="宋体"/>
          <w:b/>
          <w:bCs/>
          <w:kern w:val="0"/>
          <w:sz w:val="32"/>
          <w:szCs w:val="32"/>
        </w:rPr>
        <w:t>科学技术（类）</w:t>
      </w:r>
      <w:r>
        <w:rPr>
          <w:rFonts w:hint="eastAsia" w:ascii="仿宋_GB2312" w:hAnsi="宋体" w:eastAsia="仿宋_GB2312" w:cs="宋体"/>
          <w:kern w:val="0"/>
          <w:sz w:val="32"/>
          <w:szCs w:val="32"/>
        </w:rPr>
        <w:t>支出0.00万元，占0.00%；</w:t>
      </w:r>
      <w:r>
        <w:rPr>
          <w:rFonts w:hint="eastAsia" w:ascii="仿宋_GB2312" w:hAnsi="宋体" w:eastAsia="仿宋_GB2312" w:cs="宋体"/>
          <w:b/>
          <w:bCs/>
          <w:kern w:val="0"/>
          <w:sz w:val="32"/>
          <w:szCs w:val="32"/>
        </w:rPr>
        <w:t>文化旅游体育与传媒（类）支出</w:t>
      </w:r>
      <w:r>
        <w:rPr>
          <w:rFonts w:hint="eastAsia" w:ascii="仿宋_GB2312" w:hAnsi="宋体" w:eastAsia="仿宋_GB2312" w:cs="宋体"/>
          <w:kern w:val="0"/>
          <w:sz w:val="32"/>
          <w:szCs w:val="32"/>
        </w:rPr>
        <w:t>300.91</w:t>
      </w:r>
      <w:r>
        <w:rPr>
          <w:rFonts w:hint="eastAsia" w:ascii="仿宋_GB2312" w:hAnsi="宋体" w:eastAsia="仿宋_GB2312" w:cs="宋体"/>
          <w:b/>
          <w:bCs/>
          <w:kern w:val="0"/>
          <w:sz w:val="32"/>
          <w:szCs w:val="32"/>
        </w:rPr>
        <w:t>万元，占</w:t>
      </w:r>
      <w:r>
        <w:rPr>
          <w:rFonts w:hint="eastAsia" w:ascii="仿宋_GB2312" w:hAnsi="宋体" w:eastAsia="仿宋_GB2312" w:cs="宋体"/>
          <w:kern w:val="0"/>
          <w:sz w:val="32"/>
          <w:szCs w:val="32"/>
        </w:rPr>
        <w:t>80.80%；</w:t>
      </w:r>
      <w:r>
        <w:rPr>
          <w:rFonts w:hint="eastAsia" w:ascii="仿宋_GB2312" w:hAnsi="宋体" w:eastAsia="仿宋_GB2312" w:cs="宋体"/>
          <w:b/>
          <w:bCs/>
          <w:kern w:val="0"/>
          <w:sz w:val="32"/>
          <w:szCs w:val="32"/>
        </w:rPr>
        <w:t>社会保障和就业（类）</w:t>
      </w:r>
      <w:r>
        <w:rPr>
          <w:rFonts w:hint="eastAsia" w:ascii="仿宋_GB2312" w:hAnsi="宋体" w:eastAsia="仿宋_GB2312" w:cs="宋体"/>
          <w:kern w:val="0"/>
          <w:sz w:val="32"/>
          <w:szCs w:val="32"/>
        </w:rPr>
        <w:t>支出34.39万元，占9.23%；</w:t>
      </w:r>
      <w:r>
        <w:rPr>
          <w:rFonts w:hint="eastAsia" w:ascii="仿宋_GB2312" w:hAnsi="宋体" w:eastAsia="仿宋_GB2312" w:cs="宋体"/>
          <w:b/>
          <w:bCs/>
          <w:kern w:val="0"/>
          <w:sz w:val="32"/>
          <w:szCs w:val="32"/>
        </w:rPr>
        <w:t>卫生健康支出</w:t>
      </w:r>
      <w:r>
        <w:rPr>
          <w:rFonts w:hint="eastAsia" w:ascii="仿宋_GB2312" w:hAnsi="宋体" w:eastAsia="仿宋_GB2312" w:cs="宋体"/>
          <w:kern w:val="0"/>
          <w:sz w:val="32"/>
          <w:szCs w:val="32"/>
        </w:rPr>
        <w:t>16.91万元，占4.54%；住房保障支出20.23万元，占5.43%。</w:t>
      </w:r>
      <w:r>
        <w:rPr>
          <w:rFonts w:hint="eastAsia" w:ascii="仿宋_GB2312" w:eastAsia="仿宋_GB2312"/>
          <w:b/>
          <w:sz w:val="32"/>
          <w:szCs w:val="32"/>
        </w:rPr>
        <w:t>（注：数据来源于财决01-1表，仅罗列本单位涉及的全部功能分类科目，至类级。）</w:t>
      </w:r>
    </w:p>
    <w:p>
      <w:pPr>
        <w:spacing w:line="600" w:lineRule="exact"/>
        <w:rPr>
          <w:rFonts w:ascii="仿宋" w:eastAsia="仿宋"/>
          <w:sz w:val="32"/>
          <w:szCs w:val="32"/>
        </w:rPr>
      </w:pPr>
      <w:r>
        <w:rPr>
          <w:rFonts w:hint="eastAsia" w:ascii="仿宋" w:eastAsia="仿宋"/>
          <w:sz w:val="32"/>
          <w:szCs w:val="32"/>
        </w:rPr>
        <w:t>（图5：一般公共预算财政拨款支出决算结构）（饼状图）</w:t>
      </w:r>
    </w:p>
    <w:p>
      <w:pPr>
        <w:pStyle w:val="2"/>
        <w:spacing w:before="93"/>
      </w:pPr>
      <w:r>
        <w:rPr>
          <w:rFonts w:hint="eastAsia" w:ascii="仿宋" w:eastAsia="仿宋"/>
          <w:sz w:val="32"/>
          <w:szCs w:val="32"/>
        </w:rPr>
        <w:drawing>
          <wp:inline distT="0" distB="0" distL="0" distR="0">
            <wp:extent cx="5274310" cy="3076575"/>
            <wp:effectExtent l="19050" t="0" r="21590" b="0"/>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482" w:firstLineChars="150"/>
        <w:outlineLvl w:val="2"/>
        <w:rPr>
          <w:rFonts w:ascii="仿宋" w:eastAsia="仿宋"/>
          <w:b/>
          <w:sz w:val="32"/>
          <w:szCs w:val="32"/>
        </w:rPr>
      </w:pPr>
      <w:bookmarkStart w:id="48" w:name="_Toc15377212"/>
      <w:r>
        <w:rPr>
          <w:rFonts w:hint="eastAsia" w:ascii="仿宋" w:eastAsia="仿宋"/>
          <w:b/>
          <w:sz w:val="32"/>
          <w:szCs w:val="32"/>
        </w:rPr>
        <w:t>（三）一般公共预算财政拨款支出决算具体情况</w:t>
      </w:r>
      <w:bookmarkEnd w:id="48"/>
    </w:p>
    <w:p>
      <w:pPr>
        <w:spacing w:line="600" w:lineRule="exact"/>
        <w:ind w:firstLine="640" w:firstLineChars="200"/>
        <w:outlineLvl w:val="1"/>
        <w:rPr>
          <w:rStyle w:val="16"/>
          <w:rFonts w:ascii="仿宋_GB2312" w:eastAsia="仿宋_GB2312"/>
          <w:b w:val="0"/>
          <w:bCs/>
          <w:sz w:val="32"/>
          <w:szCs w:val="32"/>
        </w:rPr>
      </w:pPr>
      <w:bookmarkStart w:id="49" w:name="_Toc15378460"/>
      <w:bookmarkStart w:id="50" w:name="_Toc15377213"/>
      <w:bookmarkStart w:id="51" w:name="_Toc15377444"/>
      <w:bookmarkStart w:id="52" w:name="_Toc20599"/>
      <w:r>
        <w:rPr>
          <w:rFonts w:hint="eastAsia" w:ascii="仿宋_GB2312" w:eastAsia="仿宋_GB2312"/>
          <w:sz w:val="32"/>
          <w:szCs w:val="32"/>
        </w:rPr>
        <w:t>2021年一般公共预算支出决算数为</w:t>
      </w:r>
      <w:r>
        <w:rPr>
          <w:rFonts w:hint="eastAsia" w:ascii="仿宋_GB2312" w:hAnsi="宋体" w:eastAsia="仿宋_GB2312" w:cs="宋体"/>
          <w:kern w:val="0"/>
          <w:sz w:val="32"/>
          <w:szCs w:val="32"/>
        </w:rPr>
        <w:t>372.43，</w:t>
      </w:r>
      <w:r>
        <w:rPr>
          <w:rFonts w:hint="eastAsia" w:ascii="仿宋_GB2312" w:hAnsi="宋体" w:eastAsia="仿宋_GB2312" w:cs="宋体"/>
          <w:bCs/>
          <w:kern w:val="0"/>
          <w:sz w:val="32"/>
          <w:szCs w:val="32"/>
        </w:rPr>
        <w:t>完成预算</w:t>
      </w:r>
      <w:r>
        <w:rPr>
          <w:rFonts w:hint="eastAsia" w:ascii="仿宋_GB2312" w:hAnsi="宋体" w:eastAsia="仿宋_GB2312" w:cs="宋体"/>
          <w:kern w:val="0"/>
          <w:sz w:val="32"/>
          <w:szCs w:val="32"/>
        </w:rPr>
        <w:t>100.00%</w:t>
      </w:r>
      <w:r>
        <w:rPr>
          <w:rStyle w:val="16"/>
          <w:rFonts w:hint="eastAsia" w:ascii="仿宋_GB2312" w:eastAsia="仿宋_GB2312"/>
          <w:b w:val="0"/>
          <w:bCs/>
          <w:sz w:val="32"/>
          <w:szCs w:val="32"/>
        </w:rPr>
        <w:t>。其中：</w:t>
      </w:r>
      <w:bookmarkEnd w:id="49"/>
      <w:bookmarkEnd w:id="50"/>
      <w:bookmarkEnd w:id="51"/>
      <w:bookmarkEnd w:id="52"/>
    </w:p>
    <w:p>
      <w:pPr>
        <w:spacing w:line="600" w:lineRule="exact"/>
        <w:ind w:firstLine="640" w:firstLineChars="200"/>
        <w:outlineLvl w:val="2"/>
        <w:rPr>
          <w:rStyle w:val="16"/>
          <w:rFonts w:ascii="仿宋_GB2312" w:eastAsia="仿宋_GB2312"/>
          <w:b w:val="0"/>
          <w:color w:val="000000"/>
          <w:sz w:val="32"/>
          <w:szCs w:val="32"/>
        </w:rPr>
      </w:pPr>
      <w:r>
        <w:rPr>
          <w:rFonts w:hint="eastAsia" w:ascii="仿宋_GB2312" w:eastAsia="仿宋_GB2312"/>
          <w:color w:val="000000"/>
          <w:kern w:val="0"/>
          <w:sz w:val="32"/>
          <w:szCs w:val="32"/>
        </w:rPr>
        <w:t>1.文化旅游体育与传媒207（类）04（款）06（项）: 支出决算为</w:t>
      </w:r>
      <w:r>
        <w:rPr>
          <w:rFonts w:hint="eastAsia" w:ascii="仿宋_GB2312" w:eastAsia="仿宋_GB2312"/>
          <w:bCs/>
          <w:color w:val="000000"/>
          <w:sz w:val="32"/>
          <w:szCs w:val="32"/>
        </w:rPr>
        <w:t>300.91</w:t>
      </w:r>
      <w:r>
        <w:rPr>
          <w:rFonts w:hint="eastAsia" w:ascii="仿宋_GB2312" w:eastAsia="仿宋_GB2312"/>
          <w:color w:val="000000"/>
          <w:kern w:val="0"/>
          <w:sz w:val="32"/>
          <w:szCs w:val="32"/>
        </w:rPr>
        <w:t>万元，完成预算100%。</w:t>
      </w:r>
    </w:p>
    <w:p>
      <w:pPr>
        <w:spacing w:line="600" w:lineRule="exact"/>
        <w:ind w:firstLine="640" w:firstLineChars="200"/>
        <w:outlineLvl w:val="2"/>
        <w:rPr>
          <w:rFonts w:ascii="仿宋_GB2312" w:eastAsia="仿宋_GB2312"/>
          <w:color w:val="000000"/>
          <w:kern w:val="0"/>
          <w:sz w:val="32"/>
          <w:szCs w:val="32"/>
        </w:rPr>
      </w:pPr>
      <w:r>
        <w:rPr>
          <w:rFonts w:hint="eastAsia" w:ascii="仿宋_GB2312" w:eastAsia="仿宋_GB2312"/>
          <w:color w:val="000000"/>
          <w:kern w:val="0"/>
          <w:sz w:val="32"/>
          <w:szCs w:val="32"/>
        </w:rPr>
        <w:t xml:space="preserve"> 2.社会保障和就业208（类）05（款）06（项）: 支出决算为34.39万元，完成预算100%。</w:t>
      </w:r>
    </w:p>
    <w:p>
      <w:pPr>
        <w:spacing w:line="600" w:lineRule="exact"/>
        <w:ind w:firstLine="640" w:firstLineChars="200"/>
        <w:outlineLvl w:val="2"/>
        <w:rPr>
          <w:rFonts w:ascii="仿宋_GB2312" w:eastAsia="仿宋_GB2312"/>
          <w:sz w:val="32"/>
          <w:szCs w:val="32"/>
        </w:rPr>
      </w:pPr>
      <w:r>
        <w:rPr>
          <w:rFonts w:hint="eastAsia" w:ascii="仿宋_GB2312" w:eastAsia="仿宋_GB2312"/>
          <w:color w:val="000000"/>
          <w:kern w:val="0"/>
          <w:sz w:val="32"/>
          <w:szCs w:val="32"/>
        </w:rPr>
        <w:t xml:space="preserve"> 3.卫生健康210（类）11（款）02（项）:支出决算为16.91万元，完成预算100%。</w:t>
      </w:r>
    </w:p>
    <w:p>
      <w:pPr>
        <w:spacing w:line="600" w:lineRule="exact"/>
        <w:ind w:firstLine="640" w:firstLineChars="200"/>
        <w:rPr>
          <w:rFonts w:ascii="仿宋_GB2312" w:eastAsia="仿宋_GB2312"/>
          <w:sz w:val="32"/>
          <w:szCs w:val="32"/>
        </w:rPr>
      </w:pPr>
      <w:r>
        <w:rPr>
          <w:rStyle w:val="16"/>
          <w:rFonts w:hint="eastAsia" w:ascii="仿宋_GB2312" w:eastAsia="仿宋_GB2312"/>
          <w:b w:val="0"/>
          <w:color w:val="000000"/>
          <w:sz w:val="32"/>
          <w:szCs w:val="32"/>
        </w:rPr>
        <w:t>4．住房性保障221（类）02（款）01（项）:支出决算为20.23万元，完成预算100%。</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1-1表和财决08表，仅罗列本单位涉及的全部功能分类科目，至项级。上述“预算”口径为调整预算数。增减变动原因为决算数</w:t>
      </w:r>
      <w:r>
        <w:rPr>
          <w:rFonts w:ascii="仿宋" w:eastAsia="仿宋"/>
          <w:b/>
          <w:sz w:val="32"/>
          <w:szCs w:val="32"/>
        </w:rPr>
        <w:t>&lt;</w:t>
      </w:r>
      <w:r>
        <w:rPr>
          <w:rFonts w:hint="eastAsia" w:ascii="仿宋" w:eastAsia="仿宋"/>
          <w:b/>
          <w:sz w:val="32"/>
          <w:szCs w:val="32"/>
        </w:rPr>
        <w:t>项级</w:t>
      </w:r>
      <w:r>
        <w:rPr>
          <w:rFonts w:ascii="仿宋" w:eastAsia="仿宋"/>
          <w:b/>
          <w:sz w:val="32"/>
          <w:szCs w:val="32"/>
        </w:rPr>
        <w:t>&gt;</w:t>
      </w:r>
      <w:r>
        <w:rPr>
          <w:rFonts w:hint="eastAsia" w:ascii="仿宋" w:eastAsia="仿宋"/>
          <w:b/>
          <w:sz w:val="32"/>
          <w:szCs w:val="32"/>
        </w:rPr>
        <w:t>和调整预算数</w:t>
      </w:r>
      <w:r>
        <w:rPr>
          <w:rFonts w:ascii="仿宋" w:eastAsia="仿宋"/>
          <w:b/>
          <w:sz w:val="32"/>
          <w:szCs w:val="32"/>
        </w:rPr>
        <w:t>&lt;</w:t>
      </w:r>
      <w:r>
        <w:rPr>
          <w:rFonts w:hint="eastAsia" w:ascii="仿宋" w:eastAsia="仿宋"/>
          <w:b/>
          <w:sz w:val="32"/>
          <w:szCs w:val="32"/>
        </w:rPr>
        <w:t>项级</w:t>
      </w:r>
      <w:r>
        <w:rPr>
          <w:rFonts w:ascii="仿宋" w:eastAsia="仿宋"/>
          <w:b/>
          <w:sz w:val="32"/>
          <w:szCs w:val="32"/>
        </w:rPr>
        <w:t>&gt;</w:t>
      </w:r>
      <w:r>
        <w:rPr>
          <w:rFonts w:hint="eastAsia" w:ascii="仿宋" w:eastAsia="仿宋"/>
          <w:b/>
          <w:sz w:val="32"/>
          <w:szCs w:val="32"/>
        </w:rPr>
        <w:t>比较，与预算数持平可以不写原因。）</w:t>
      </w:r>
    </w:p>
    <w:p>
      <w:pPr>
        <w:tabs>
          <w:tab w:val="right" w:pos="8306"/>
        </w:tabs>
        <w:spacing w:line="600" w:lineRule="exact"/>
        <w:ind w:firstLine="640" w:firstLineChars="200"/>
        <w:outlineLvl w:val="9"/>
        <w:rPr>
          <w:rFonts w:ascii="黑体" w:eastAsia="黑体"/>
          <w:sz w:val="32"/>
          <w:szCs w:val="32"/>
        </w:rPr>
      </w:pPr>
      <w:bookmarkStart w:id="53" w:name="_Toc15396608"/>
      <w:bookmarkStart w:id="54" w:name="_Toc15377214"/>
    </w:p>
    <w:p>
      <w:pPr>
        <w:tabs>
          <w:tab w:val="right" w:pos="8306"/>
        </w:tabs>
        <w:spacing w:line="600" w:lineRule="exact"/>
        <w:ind w:firstLine="640" w:firstLineChars="200"/>
        <w:outlineLvl w:val="1"/>
        <w:rPr>
          <w:rStyle w:val="19"/>
        </w:rPr>
      </w:pPr>
      <w:bookmarkStart w:id="55" w:name="_Toc6473"/>
      <w:r>
        <w:rPr>
          <w:rFonts w:hint="eastAsia" w:ascii="黑体" w:eastAsia="黑体"/>
          <w:sz w:val="32"/>
          <w:szCs w:val="32"/>
        </w:rPr>
        <w:t>六</w:t>
      </w:r>
      <w:r>
        <w:rPr>
          <w:rFonts w:hint="eastAsia" w:ascii="黑体" w:eastAsia="黑体"/>
          <w:b/>
          <w:sz w:val="32"/>
          <w:szCs w:val="32"/>
        </w:rPr>
        <w:t>、一</w:t>
      </w:r>
      <w:r>
        <w:rPr>
          <w:rStyle w:val="19"/>
          <w:rFonts w:hint="eastAsia" w:ascii="黑体" w:eastAsia="黑体"/>
          <w:b w:val="0"/>
        </w:rPr>
        <w:t>般公共预算财政拨款基本支出决算情况说明</w:t>
      </w:r>
      <w:bookmarkEnd w:id="53"/>
      <w:bookmarkEnd w:id="54"/>
      <w:bookmarkEnd w:id="55"/>
      <w:r>
        <w:rPr>
          <w:rStyle w:val="19"/>
          <w:rFonts w:ascii="黑体" w:eastAsia="黑体"/>
          <w:b w:val="0"/>
        </w:rPr>
        <w:tab/>
      </w:r>
    </w:p>
    <w:p>
      <w:pPr>
        <w:spacing w:line="600" w:lineRule="exact"/>
        <w:ind w:firstLine="645"/>
        <w:rPr>
          <w:rFonts w:ascii="仿宋_GB2312" w:eastAsia="仿宋_GB2312"/>
          <w:sz w:val="32"/>
          <w:szCs w:val="32"/>
        </w:rPr>
      </w:pPr>
      <w:r>
        <w:rPr>
          <w:rFonts w:hint="eastAsia" w:ascii="仿宋_GB2312" w:eastAsia="仿宋_GB2312"/>
          <w:sz w:val="32"/>
          <w:szCs w:val="32"/>
        </w:rPr>
        <w:t>2021年一般公共预算财政拨款基本支出</w:t>
      </w:r>
      <w:r>
        <w:rPr>
          <w:rFonts w:hint="eastAsia" w:ascii="仿宋_GB2312" w:hAnsi="宋体" w:eastAsia="仿宋_GB2312" w:cs="宋体"/>
          <w:kern w:val="0"/>
          <w:sz w:val="32"/>
          <w:szCs w:val="32"/>
        </w:rPr>
        <w:t>325.32</w:t>
      </w:r>
      <w:r>
        <w:rPr>
          <w:rFonts w:hint="eastAsia" w:ascii="仿宋_GB2312" w:eastAsia="仿宋_GB2312"/>
          <w:sz w:val="32"/>
          <w:szCs w:val="32"/>
        </w:rPr>
        <w:t>万元，其中：</w:t>
      </w:r>
    </w:p>
    <w:p>
      <w:pPr>
        <w:spacing w:line="600" w:lineRule="exact"/>
        <w:ind w:firstLine="645"/>
        <w:rPr>
          <w:rFonts w:ascii="仿宋_GB2312" w:eastAsia="仿宋_GB2312"/>
          <w:sz w:val="32"/>
          <w:szCs w:val="32"/>
        </w:rPr>
      </w:pPr>
      <w:r>
        <w:rPr>
          <w:rFonts w:hint="eastAsia" w:ascii="仿宋_GB2312" w:eastAsia="仿宋_GB2312"/>
          <w:sz w:val="32"/>
          <w:szCs w:val="32"/>
        </w:rPr>
        <w:t>人员经费</w:t>
      </w:r>
      <w:r>
        <w:rPr>
          <w:rFonts w:hint="eastAsia" w:ascii="仿宋_GB2312" w:hAnsi="宋体" w:eastAsia="仿宋_GB2312" w:cs="宋体"/>
          <w:kern w:val="0"/>
          <w:sz w:val="32"/>
          <w:szCs w:val="32"/>
        </w:rPr>
        <w:t>303.04</w:t>
      </w:r>
      <w:r>
        <w:rPr>
          <w:rFonts w:hint="eastAsia" w:ascii="仿宋_GB2312" w:eastAsia="仿宋_GB2312"/>
          <w:sz w:val="32"/>
          <w:szCs w:val="32"/>
        </w:rPr>
        <w:t>万元，主要包括：基本工资62.11万元、津贴补贴25.35万元、奖金36.28万元、伙食补助费4.85万元、绩效工资68.19万元、机关事业单位基本养老保险缴费22.39万元、职业年金缴费12万元、其他社会保障缴费1.28万元、生活补助33.45万元、医疗费补助11.06万元、住房公积金20.23万元、公务员医疗补助缴费5.85万元等。</w:t>
      </w:r>
      <w:r>
        <w:rPr>
          <w:rFonts w:hint="eastAsia" w:ascii="仿宋_GB2312" w:eastAsia="仿宋_GB2312"/>
          <w:sz w:val="32"/>
          <w:szCs w:val="32"/>
        </w:rPr>
        <w:br w:type="textWrapping"/>
      </w:r>
      <w:r>
        <w:rPr>
          <w:rFonts w:hint="eastAsia" w:ascii="仿宋_GB2312" w:eastAsia="仿宋_GB2312"/>
          <w:sz w:val="32"/>
          <w:szCs w:val="32"/>
        </w:rPr>
        <w:t>　　公用经费</w:t>
      </w:r>
      <w:r>
        <w:rPr>
          <w:rFonts w:hint="eastAsia" w:ascii="仿宋_GB2312" w:hAnsi="宋体" w:eastAsia="仿宋_GB2312" w:cs="宋体"/>
          <w:kern w:val="0"/>
          <w:sz w:val="32"/>
          <w:szCs w:val="32"/>
        </w:rPr>
        <w:t>22.28</w:t>
      </w:r>
      <w:r>
        <w:rPr>
          <w:rFonts w:hint="eastAsia" w:ascii="仿宋_GB2312" w:eastAsia="仿宋_GB2312"/>
          <w:sz w:val="32"/>
          <w:szCs w:val="32"/>
        </w:rPr>
        <w:t>万元，主要包括：办公费3.86万元、电费2.57万元、邮电费5.22万元、差旅费3.47万元、维修（护）费0.62万元、培训费0.72万元、公务接待费0.11万元、福利费2.56万元、公务用车运行维护费3.15万元等。</w:t>
      </w:r>
    </w:p>
    <w:p>
      <w:pPr>
        <w:spacing w:line="600" w:lineRule="exact"/>
        <w:ind w:firstLine="645"/>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7表和财决08-1表，仅罗列本单位实际支出涉及的经济分类科目。）</w:t>
      </w:r>
    </w:p>
    <w:p>
      <w:pPr>
        <w:spacing w:line="600" w:lineRule="exact"/>
        <w:ind w:firstLine="640"/>
        <w:outlineLvl w:val="9"/>
        <w:rPr>
          <w:rFonts w:ascii="黑体" w:eastAsia="黑体"/>
          <w:sz w:val="32"/>
          <w:szCs w:val="32"/>
        </w:rPr>
      </w:pPr>
      <w:bookmarkStart w:id="56" w:name="_Toc15396609"/>
      <w:bookmarkStart w:id="57" w:name="_Toc15377215"/>
    </w:p>
    <w:p>
      <w:pPr>
        <w:spacing w:line="600" w:lineRule="exact"/>
        <w:ind w:firstLine="640"/>
        <w:outlineLvl w:val="1"/>
        <w:rPr>
          <w:rStyle w:val="19"/>
          <w:rFonts w:ascii="黑体" w:eastAsia="黑体"/>
          <w:b w:val="0"/>
        </w:rPr>
      </w:pPr>
      <w:bookmarkStart w:id="58" w:name="_Toc2593"/>
      <w:r>
        <w:rPr>
          <w:rFonts w:hint="eastAsia" w:ascii="黑体" w:eastAsia="黑体"/>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56"/>
      <w:bookmarkEnd w:id="57"/>
      <w:bookmarkEnd w:id="58"/>
    </w:p>
    <w:p>
      <w:pPr>
        <w:spacing w:line="600" w:lineRule="exact"/>
        <w:ind w:firstLine="640"/>
        <w:outlineLvl w:val="2"/>
        <w:rPr>
          <w:rFonts w:ascii="仿宋" w:eastAsia="仿宋"/>
          <w:b/>
          <w:sz w:val="32"/>
          <w:szCs w:val="32"/>
        </w:rPr>
      </w:pPr>
      <w:bookmarkStart w:id="59" w:name="_Toc15377216"/>
      <w:r>
        <w:rPr>
          <w:rFonts w:hint="eastAsia" w:ascii="仿宋" w:eastAsia="仿宋"/>
          <w:b/>
          <w:sz w:val="32"/>
          <w:szCs w:val="32"/>
        </w:rPr>
        <w:t>（一）“三公”经费财政拨款支出决算总体情况说明</w:t>
      </w:r>
      <w:bookmarkEnd w:id="59"/>
    </w:p>
    <w:p>
      <w:pPr>
        <w:spacing w:line="600" w:lineRule="exact"/>
        <w:ind w:firstLine="640"/>
        <w:rPr>
          <w:rFonts w:ascii="仿宋_GB2312" w:eastAsia="仿宋_GB2312"/>
          <w:sz w:val="32"/>
          <w:szCs w:val="32"/>
        </w:rPr>
      </w:pPr>
      <w:r>
        <w:rPr>
          <w:rFonts w:hint="eastAsia" w:ascii="仿宋_GB2312" w:eastAsia="仿宋_GB2312"/>
          <w:sz w:val="32"/>
          <w:szCs w:val="32"/>
        </w:rPr>
        <w:t>2021年“三公”经费财政拨款支出决算为</w:t>
      </w:r>
      <w:r>
        <w:rPr>
          <w:rFonts w:hint="eastAsia" w:ascii="宋体" w:hAnsi="宋体" w:cs="宋体"/>
          <w:kern w:val="0"/>
          <w:sz w:val="32"/>
          <w:szCs w:val="32"/>
        </w:rPr>
        <w:t>3.26</w:t>
      </w:r>
      <w:r>
        <w:rPr>
          <w:rFonts w:hint="eastAsia" w:ascii="仿宋_GB2312" w:eastAsia="仿宋_GB2312"/>
          <w:sz w:val="32"/>
          <w:szCs w:val="32"/>
        </w:rPr>
        <w:t>万元，完成预算100%，决算数小于预算数（或与预算数持平）的主要原因是厉行节约，支出相应减少。</w:t>
      </w:r>
    </w:p>
    <w:p>
      <w:pPr>
        <w:spacing w:line="600" w:lineRule="exact"/>
        <w:ind w:firstLine="640"/>
        <w:rPr>
          <w:rFonts w:ascii="仿宋" w:eastAsia="仿宋"/>
          <w:b/>
          <w:sz w:val="32"/>
          <w:szCs w:val="32"/>
        </w:rPr>
      </w:pPr>
      <w:r>
        <w:rPr>
          <w:rFonts w:hint="eastAsia" w:ascii="仿宋" w:eastAsia="仿宋"/>
          <w:b/>
          <w:sz w:val="32"/>
          <w:szCs w:val="32"/>
        </w:rPr>
        <w:t>（注：上述“预算”口径为调整预算数，包括一般公共预算和政府性基金预算财政拨款支出决算情况。）</w:t>
      </w:r>
    </w:p>
    <w:p>
      <w:pPr>
        <w:spacing w:line="600" w:lineRule="exact"/>
        <w:ind w:firstLine="640"/>
        <w:outlineLvl w:val="2"/>
        <w:rPr>
          <w:rFonts w:ascii="仿宋" w:eastAsia="仿宋"/>
          <w:b/>
          <w:sz w:val="32"/>
          <w:szCs w:val="32"/>
        </w:rPr>
      </w:pPr>
      <w:bookmarkStart w:id="60" w:name="_Toc15377217"/>
      <w:r>
        <w:rPr>
          <w:rFonts w:hint="eastAsia" w:ascii="仿宋" w:eastAsia="仿宋"/>
          <w:b/>
          <w:sz w:val="32"/>
          <w:szCs w:val="32"/>
        </w:rPr>
        <w:t>（二）“三公”经费财政拨款支出决算具体情况说明</w:t>
      </w:r>
      <w:bookmarkEnd w:id="60"/>
    </w:p>
    <w:p>
      <w:pPr>
        <w:spacing w:line="600" w:lineRule="exact"/>
        <w:ind w:firstLine="640"/>
        <w:rPr>
          <w:rFonts w:ascii="仿宋_GB2312" w:eastAsia="仿宋_GB2312"/>
          <w:sz w:val="32"/>
          <w:szCs w:val="32"/>
        </w:rPr>
      </w:pPr>
      <w:r>
        <w:rPr>
          <w:rFonts w:hint="eastAsia" w:ascii="仿宋_GB2312" w:eastAsia="仿宋_GB2312"/>
          <w:sz w:val="32"/>
          <w:szCs w:val="32"/>
        </w:rPr>
        <w:t>2021年“三公”经费财政拨款支出决算中，因公出国（境）费支出决算0.00万元，占0.00%；公务用车购置及运行维护费支出决算3.15万元，占96.62%；公务接待费支出决算0.11万元，占3.38%。具体情况如下：</w:t>
      </w:r>
    </w:p>
    <w:p>
      <w:pPr>
        <w:spacing w:line="600" w:lineRule="exact"/>
        <w:ind w:firstLine="640"/>
        <w:rPr>
          <w:rFonts w:ascii="仿宋" w:eastAsia="仿宋"/>
          <w:sz w:val="32"/>
          <w:szCs w:val="32"/>
        </w:rPr>
      </w:pPr>
      <w:r>
        <w:rPr>
          <w:rFonts w:hint="eastAsia" w:ascii="仿宋" w:eastAsia="仿宋"/>
          <w:sz w:val="32"/>
          <w:szCs w:val="32"/>
        </w:rPr>
        <w:t>（图6：“三公”经费财政拨款支出结构）（饼状图）</w:t>
      </w:r>
    </w:p>
    <w:p>
      <w:pPr>
        <w:pStyle w:val="2"/>
        <w:spacing w:before="93"/>
      </w:pPr>
      <w:r>
        <w:rPr>
          <w:rFonts w:hint="eastAsia"/>
        </w:rPr>
        <w:drawing>
          <wp:inline distT="0" distB="0" distL="0" distR="0">
            <wp:extent cx="5506085" cy="3017520"/>
            <wp:effectExtent l="19050" t="0" r="17961" b="0"/>
            <wp:docPr id="21"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0.00万元，</w:t>
      </w:r>
      <w:r>
        <w:rPr>
          <w:rStyle w:val="16"/>
          <w:rFonts w:hint="eastAsia" w:ascii="仿宋" w:eastAsia="仿宋"/>
          <w:b w:val="0"/>
          <w:bCs/>
          <w:sz w:val="32"/>
          <w:szCs w:val="32"/>
        </w:rPr>
        <w:t>完成预算0.00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全年安排因公出国（境）团组0次，出国（境）0人。因公出国（境）支出决算比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减少0.00万元，增长</w:t>
      </w:r>
      <w:r>
        <w:rPr>
          <w:rFonts w:ascii="仿宋_GB2312" w:eastAsia="仿宋_GB2312"/>
          <w:sz w:val="32"/>
          <w:szCs w:val="32"/>
        </w:rPr>
        <w:t>/</w:t>
      </w:r>
      <w:r>
        <w:rPr>
          <w:rFonts w:hint="eastAsia" w:ascii="仿宋_GB2312" w:eastAsia="仿宋_GB2312"/>
          <w:sz w:val="32"/>
          <w:szCs w:val="32"/>
        </w:rPr>
        <w:t>下降0.00</w:t>
      </w:r>
      <w:r>
        <w:rPr>
          <w:rFonts w:ascii="仿宋_GB2312" w:eastAsia="仿宋_GB2312"/>
          <w:sz w:val="32"/>
          <w:szCs w:val="32"/>
        </w:rPr>
        <w:t>%</w:t>
      </w:r>
      <w:r>
        <w:rPr>
          <w:rFonts w:hint="eastAsia" w:ascii="仿宋_GB2312" w:eastAsia="仿宋_GB2312"/>
          <w:sz w:val="32"/>
          <w:szCs w:val="32"/>
        </w:rPr>
        <w:t>。因公出国（境）支出决算同</w:t>
      </w:r>
      <w:r>
        <w:rPr>
          <w:rFonts w:ascii="仿宋_GB2312" w:eastAsia="仿宋_GB2312"/>
          <w:sz w:val="32"/>
          <w:szCs w:val="32"/>
        </w:rPr>
        <w:t>20</w:t>
      </w:r>
      <w:r>
        <w:rPr>
          <w:rFonts w:hint="eastAsia" w:ascii="仿宋_GB2312" w:eastAsia="仿宋_GB2312"/>
          <w:sz w:val="32"/>
          <w:szCs w:val="32"/>
        </w:rPr>
        <w:t>20年持平。主要原因是2021年不涉及出国（境）业务。</w:t>
      </w:r>
    </w:p>
    <w:p>
      <w:pPr>
        <w:spacing w:line="600" w:lineRule="exact"/>
        <w:ind w:firstLine="643" w:firstLineChars="200"/>
        <w:rPr>
          <w:rFonts w:ascii="仿宋_GB2312" w:eastAsia="仿宋_GB2312"/>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3.15万元,</w:t>
      </w:r>
      <w:r>
        <w:rPr>
          <w:rStyle w:val="16"/>
          <w:rFonts w:hint="eastAsia" w:ascii="仿宋" w:eastAsia="仿宋"/>
          <w:b w:val="0"/>
          <w:bCs/>
          <w:sz w:val="32"/>
          <w:szCs w:val="32"/>
        </w:rPr>
        <w:t>完成预算100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20年增加1.24万元，增长61.72</w:t>
      </w:r>
      <w:r>
        <w:rPr>
          <w:rFonts w:ascii="仿宋_GB2312" w:eastAsia="仿宋_GB2312"/>
          <w:sz w:val="32"/>
          <w:szCs w:val="32"/>
        </w:rPr>
        <w:t>%</w:t>
      </w:r>
      <w:r>
        <w:rPr>
          <w:rFonts w:hint="eastAsia" w:ascii="仿宋_GB2312" w:eastAsia="仿宋_GB2312"/>
          <w:sz w:val="32"/>
          <w:szCs w:val="32"/>
        </w:rPr>
        <w:t>。主要原因是影城和农村电影放映运行正常，增加</w:t>
      </w:r>
      <w:r>
        <w:rPr>
          <w:rFonts w:hint="eastAsia" w:ascii="仿宋_GB2312" w:hAnsi="宋体" w:eastAsia="仿宋_GB2312" w:cs="宋体"/>
          <w:bCs/>
          <w:kern w:val="0"/>
          <w:sz w:val="32"/>
        </w:rPr>
        <w:t>对农村数字电影放映工作各县的检查</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0万元。全年按规定更新购置公务用车0辆，其中：轿车0辆、金额0万元，越野车0辆、金额0万元，载客汽车0辆、金额0万元，本年中心无公务用车购置支出。截至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月底，单位共有公务用车2辆，其中：轿车1辆、越野车1辆、载客汽车0辆。</w:t>
      </w:r>
    </w:p>
    <w:p>
      <w:pPr>
        <w:spacing w:line="600" w:lineRule="exact"/>
        <w:ind w:firstLine="640"/>
        <w:rPr>
          <w:rFonts w:ascii="仿宋_GB2312" w:hAnsi="仿宋_GB2312" w:eastAsia="仿宋_GB2312" w:cs="仿宋_GB2312"/>
          <w:color w:val="000000"/>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3.15万元。主要</w:t>
      </w:r>
      <w:r>
        <w:rPr>
          <w:rFonts w:eastAsia="仿宋_GB2312"/>
          <w:color w:val="000000"/>
          <w:sz w:val="32"/>
          <w:szCs w:val="32"/>
        </w:rPr>
        <w:t>对13县农村电影放映的监管工作，影城工作，中心工作</w:t>
      </w:r>
      <w:r>
        <w:rPr>
          <w:rFonts w:hint="eastAsia" w:ascii="仿宋_GB2312" w:hAnsi="仿宋_GB2312" w:eastAsia="仿宋_GB2312" w:cs="仿宋_GB2312"/>
          <w:color w:val="000000"/>
          <w:sz w:val="32"/>
          <w:szCs w:val="32"/>
        </w:rPr>
        <w:t>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0.11万元，</w:t>
      </w:r>
      <w:r>
        <w:rPr>
          <w:rStyle w:val="16"/>
          <w:rFonts w:hint="eastAsia" w:ascii="仿宋" w:eastAsia="仿宋"/>
          <w:b w:val="0"/>
          <w:bCs/>
          <w:sz w:val="32"/>
          <w:szCs w:val="32"/>
        </w:rPr>
        <w:t>完成预算100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减少0.02万元，下降-16.1</w:t>
      </w:r>
      <w:r>
        <w:rPr>
          <w:rFonts w:ascii="仿宋_GB2312" w:eastAsia="仿宋_GB2312"/>
          <w:sz w:val="32"/>
          <w:szCs w:val="32"/>
        </w:rPr>
        <w:t>%</w:t>
      </w:r>
      <w:r>
        <w:rPr>
          <w:rFonts w:hint="eastAsia" w:ascii="仿宋_GB2312" w:eastAsia="仿宋_GB2312"/>
          <w:sz w:val="32"/>
          <w:szCs w:val="32"/>
        </w:rPr>
        <w:t>。主要原因是厉行节约，支出相应减少。</w:t>
      </w:r>
    </w:p>
    <w:p>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rPr>
        <w:t>0.11</w:t>
      </w:r>
      <w:r>
        <w:rPr>
          <w:rFonts w:hint="eastAsia" w:ascii="仿宋_GB2312" w:eastAsia="仿宋_GB2312"/>
          <w:sz w:val="32"/>
          <w:szCs w:val="32"/>
        </w:rPr>
        <w:t>万元，主要用于中心日常执行公务、开展业务活动开支的交通费、住宿费、用餐费等。国内公务接待4批次，10人次（不包括陪同人员），共计支出0.11万元，具体内容包括：调研</w:t>
      </w:r>
      <w:r>
        <w:rPr>
          <w:rFonts w:hint="eastAsia" w:ascii="仿宋_GB2312" w:eastAsia="仿宋_GB2312"/>
          <w:color w:val="000000"/>
          <w:sz w:val="32"/>
          <w:szCs w:val="32"/>
        </w:rPr>
        <w:t>交流</w:t>
      </w:r>
      <w:r>
        <w:rPr>
          <w:rFonts w:hint="eastAsia" w:ascii="仿宋_GB2312" w:eastAsia="仿宋_GB2312"/>
          <w:sz w:val="32"/>
          <w:szCs w:val="32"/>
        </w:rPr>
        <w:t>。</w:t>
      </w:r>
    </w:p>
    <w:p>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rFonts w:hint="eastAsia" w:ascii="仿宋" w:eastAsia="仿宋"/>
          <w:sz w:val="32"/>
          <w:szCs w:val="32"/>
        </w:rPr>
        <w:t>0.00</w:t>
      </w:r>
      <w:r>
        <w:rPr>
          <w:rFonts w:hint="eastAsia" w:ascii="仿宋_GB2312" w:eastAsia="仿宋_GB2312"/>
          <w:sz w:val="32"/>
          <w:szCs w:val="32"/>
        </w:rPr>
        <w:t>万元，外事接待0批次，0人，共计支出0.00万元，</w:t>
      </w:r>
      <w:bookmarkStart w:id="61" w:name="_Toc15396610"/>
      <w:bookmarkStart w:id="62" w:name="_Toc15377218"/>
      <w:r>
        <w:rPr>
          <w:rFonts w:hint="eastAsia" w:ascii="仿宋_GB2312" w:eastAsia="仿宋_GB2312"/>
          <w:sz w:val="32"/>
          <w:szCs w:val="32"/>
        </w:rPr>
        <w:t>不涉及外事接待。</w:t>
      </w:r>
    </w:p>
    <w:p>
      <w:pPr>
        <w:spacing w:line="600" w:lineRule="exact"/>
        <w:ind w:firstLine="640" w:firstLineChars="200"/>
        <w:outlineLvl w:val="1"/>
        <w:rPr>
          <w:rStyle w:val="19"/>
          <w:rFonts w:ascii="黑体" w:eastAsia="黑体"/>
        </w:rPr>
      </w:pPr>
      <w:bookmarkStart w:id="63" w:name="_Toc25568"/>
      <w:r>
        <w:rPr>
          <w:rFonts w:hint="eastAsia" w:ascii="黑体" w:eastAsia="黑体"/>
          <w:sz w:val="32"/>
          <w:szCs w:val="32"/>
        </w:rPr>
        <w:t>八、</w:t>
      </w:r>
      <w:r>
        <w:rPr>
          <w:rStyle w:val="19"/>
          <w:rFonts w:hint="eastAsia" w:ascii="黑体" w:eastAsia="黑体"/>
          <w:b w:val="0"/>
        </w:rPr>
        <w:t>政府性基金预算支出决算情况说明</w:t>
      </w:r>
      <w:bookmarkEnd w:id="61"/>
      <w:bookmarkEnd w:id="62"/>
      <w:bookmarkEnd w:id="63"/>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21年政府性基金预算财政拨款支出0万元。</w:t>
      </w:r>
    </w:p>
    <w:p>
      <w:pPr>
        <w:spacing w:line="600" w:lineRule="exact"/>
        <w:ind w:firstLine="640"/>
        <w:rPr>
          <w:rFonts w:ascii="仿宋_GB2312" w:eastAsia="仿宋_GB2312"/>
          <w:sz w:val="32"/>
          <w:szCs w:val="32"/>
        </w:rPr>
      </w:pPr>
    </w:p>
    <w:p>
      <w:pPr>
        <w:numPr>
          <w:ilvl w:val="0"/>
          <w:numId w:val="3"/>
        </w:numPr>
        <w:spacing w:line="600" w:lineRule="exact"/>
        <w:ind w:firstLine="640"/>
        <w:outlineLvl w:val="1"/>
        <w:rPr>
          <w:rStyle w:val="19"/>
          <w:rFonts w:ascii="黑体" w:eastAsia="黑体"/>
          <w:b w:val="0"/>
        </w:rPr>
      </w:pPr>
      <w:bookmarkStart w:id="64" w:name="_Toc15377219"/>
      <w:bookmarkStart w:id="65" w:name="_Toc15396611"/>
      <w:bookmarkStart w:id="66" w:name="_Toc26431"/>
      <w:r>
        <w:rPr>
          <w:rStyle w:val="19"/>
          <w:rFonts w:hint="eastAsia" w:ascii="黑体" w:eastAsia="黑体"/>
          <w:b w:val="0"/>
        </w:rPr>
        <w:t>国有资本经营预算支出决算情况说明</w:t>
      </w:r>
      <w:bookmarkEnd w:id="64"/>
      <w:bookmarkEnd w:id="65"/>
      <w:bookmarkEnd w:id="66"/>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21年国有资本经营预算财政拨款支出0万元。</w:t>
      </w:r>
    </w:p>
    <w:p>
      <w:pPr>
        <w:numPr>
          <w:ilvl w:val="0"/>
          <w:numId w:val="3"/>
        </w:numPr>
        <w:spacing w:line="600" w:lineRule="exact"/>
        <w:ind w:firstLine="640"/>
        <w:outlineLvl w:val="1"/>
        <w:rPr>
          <w:rStyle w:val="19"/>
          <w:rFonts w:ascii="黑体" w:eastAsia="黑体"/>
          <w:b w:val="0"/>
        </w:rPr>
      </w:pPr>
      <w:bookmarkStart w:id="67" w:name="_Toc15377221"/>
      <w:bookmarkStart w:id="68" w:name="_Toc15396612"/>
      <w:bookmarkStart w:id="69" w:name="_Toc11007"/>
      <w:r>
        <w:rPr>
          <w:rStyle w:val="19"/>
          <w:rFonts w:hint="eastAsia" w:ascii="黑体" w:eastAsia="黑体"/>
          <w:b w:val="0"/>
        </w:rPr>
        <w:t>其他重要事项的情况说明</w:t>
      </w:r>
      <w:bookmarkEnd w:id="67"/>
      <w:bookmarkEnd w:id="68"/>
      <w:bookmarkEnd w:id="69"/>
    </w:p>
    <w:p>
      <w:pPr>
        <w:spacing w:line="600" w:lineRule="exact"/>
        <w:ind w:firstLine="643" w:firstLineChars="200"/>
        <w:outlineLvl w:val="2"/>
        <w:rPr>
          <w:rFonts w:ascii="仿宋" w:eastAsia="仿宋"/>
          <w:sz w:val="32"/>
          <w:szCs w:val="32"/>
        </w:rPr>
      </w:pPr>
      <w:bookmarkStart w:id="70" w:name="_Toc15377222"/>
      <w:r>
        <w:rPr>
          <w:rFonts w:hint="eastAsia" w:ascii="仿宋" w:eastAsia="仿宋"/>
          <w:b/>
          <w:sz w:val="32"/>
          <w:szCs w:val="32"/>
        </w:rPr>
        <w:t>（一）机关运行经费支出情况</w:t>
      </w:r>
      <w:bookmarkEnd w:id="70"/>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21年，阿坝州电影服务中心机关运行经费支出0万元，比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减少0.00万元，增长</w:t>
      </w:r>
      <w:r>
        <w:rPr>
          <w:rFonts w:ascii="仿宋_GB2312" w:eastAsia="仿宋_GB2312"/>
          <w:sz w:val="32"/>
          <w:szCs w:val="32"/>
        </w:rPr>
        <w:t>/</w:t>
      </w:r>
      <w:r>
        <w:rPr>
          <w:rFonts w:hint="eastAsia" w:ascii="仿宋_GB2312" w:eastAsia="仿宋_GB2312"/>
          <w:sz w:val="32"/>
          <w:szCs w:val="32"/>
        </w:rPr>
        <w:t>下降0.00</w:t>
      </w:r>
      <w:r>
        <w:rPr>
          <w:rFonts w:ascii="仿宋_GB2312" w:eastAsia="仿宋_GB2312"/>
          <w:sz w:val="32"/>
          <w:szCs w:val="32"/>
        </w:rPr>
        <w:t>%</w:t>
      </w:r>
      <w:r>
        <w:rPr>
          <w:rFonts w:hint="eastAsia" w:ascii="仿宋_GB2312" w:eastAsia="仿宋_GB2312"/>
          <w:sz w:val="32"/>
          <w:szCs w:val="32"/>
        </w:rPr>
        <w:t>（或与</w:t>
      </w:r>
      <w:r>
        <w:rPr>
          <w:rFonts w:ascii="仿宋_GB2312" w:eastAsia="仿宋_GB2312"/>
          <w:sz w:val="32"/>
          <w:szCs w:val="32"/>
        </w:rPr>
        <w:t>20</w:t>
      </w:r>
      <w:r>
        <w:rPr>
          <w:rFonts w:hint="eastAsia" w:ascii="仿宋_GB2312" w:eastAsia="仿宋_GB2312"/>
          <w:sz w:val="32"/>
          <w:szCs w:val="32"/>
        </w:rPr>
        <w:t>20年决算数持平）。中心无机关运行经费。</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71" w:name="_Toc15377223"/>
      <w:r>
        <w:rPr>
          <w:rFonts w:hint="eastAsia" w:ascii="仿宋" w:eastAsia="仿宋"/>
          <w:b/>
          <w:sz w:val="32"/>
          <w:szCs w:val="32"/>
        </w:rPr>
        <w:t>（二）政府采购支出情况</w:t>
      </w:r>
      <w:bookmarkEnd w:id="7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21年，阿坝州电影服务中心政府采购支出总额0.00万元，其中：政府采购货物支出0.00万元、政府采购工程支出0.00万元、政府采购服务支出0.00万元。主要用于</w:t>
      </w:r>
      <w:r>
        <w:rPr>
          <w:rFonts w:ascii="仿宋_GB2312" w:eastAsia="仿宋_GB2312"/>
          <w:sz w:val="32"/>
          <w:szCs w:val="32"/>
        </w:rPr>
        <w:t>…</w:t>
      </w:r>
      <w:r>
        <w:rPr>
          <w:rFonts w:hint="eastAsia" w:ascii="仿宋_GB2312" w:eastAsia="仿宋_GB2312"/>
          <w:sz w:val="32"/>
          <w:szCs w:val="32"/>
        </w:rPr>
        <w:t>（具体工作）。授予中小企业合同金额0.00万元，占政府采购支出总额的0.00</w:t>
      </w:r>
      <w:r>
        <w:rPr>
          <w:rFonts w:ascii="仿宋_GB2312" w:eastAsia="仿宋_GB2312"/>
          <w:sz w:val="32"/>
          <w:szCs w:val="32"/>
        </w:rPr>
        <w:t>%</w:t>
      </w:r>
      <w:r>
        <w:rPr>
          <w:rFonts w:hint="eastAsia" w:ascii="仿宋_GB2312" w:eastAsia="仿宋_GB2312"/>
          <w:sz w:val="32"/>
          <w:szCs w:val="32"/>
        </w:rPr>
        <w:t>，其中：授予小微企业合同金额0.00万元，占政府采购支出总额的0.00</w:t>
      </w:r>
      <w:r>
        <w:rPr>
          <w:rFonts w:ascii="仿宋_GB2312" w:eastAsia="仿宋_GB2312"/>
          <w:sz w:val="32"/>
          <w:szCs w:val="32"/>
        </w:rPr>
        <w:t>%</w:t>
      </w:r>
      <w:r>
        <w:rPr>
          <w:rFonts w:hint="eastAsia" w:ascii="仿宋_GB2312" w:eastAsia="仿宋_GB2312"/>
          <w:sz w:val="32"/>
          <w:szCs w:val="32"/>
        </w:rPr>
        <w:t>。</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72" w:name="_Toc15377224"/>
      <w:r>
        <w:rPr>
          <w:rFonts w:hint="eastAsia" w:ascii="仿宋" w:eastAsia="仿宋"/>
          <w:b/>
          <w:sz w:val="32"/>
          <w:szCs w:val="32"/>
        </w:rPr>
        <w:t>（三）国有资产占有使用情况</w:t>
      </w:r>
      <w:bookmarkEnd w:id="72"/>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日，阿坝州电影服务中心共有车辆2辆，其中：主要领导干部用车0辆、机要通信用车0辆、应急保障用车0辆、其他用车2辆，其他用车</w:t>
      </w:r>
      <w:r>
        <w:rPr>
          <w:rFonts w:eastAsia="仿宋_GB2312"/>
          <w:color w:val="000000"/>
          <w:kern w:val="0"/>
          <w:sz w:val="32"/>
          <w:szCs w:val="32"/>
        </w:rPr>
        <w:t>主要是用于</w:t>
      </w:r>
      <w:r>
        <w:rPr>
          <w:rFonts w:eastAsia="仿宋_GB2312"/>
          <w:color w:val="000000"/>
          <w:sz w:val="32"/>
          <w:szCs w:val="32"/>
        </w:rPr>
        <w:t>对13县农村电影放映的监管工作，影城工作，中心工作等支出</w:t>
      </w:r>
      <w:r>
        <w:rPr>
          <w:rFonts w:eastAsia="仿宋_GB2312"/>
          <w:color w:val="000000"/>
          <w:kern w:val="0"/>
          <w:sz w:val="32"/>
          <w:szCs w:val="32"/>
        </w:rPr>
        <w:t>。单价50万元以上通用设备2台（套），</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万元以上专用设备0台（套）。</w:t>
      </w:r>
    </w:p>
    <w:p>
      <w:pPr>
        <w:autoSpaceDE w:val="0"/>
        <w:autoSpaceDN w:val="0"/>
        <w:adjustRightInd w:val="0"/>
        <w:spacing w:line="600" w:lineRule="exact"/>
        <w:ind w:firstLine="643" w:firstLineChars="200"/>
        <w:jc w:val="left"/>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表，按单位决算报表填报数据罗列车辆情况。）</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单位在2021年度预算编制阶段，组织对1项目（项目名称）等1个项目开展了预算事前绩效评估，对1个项目编制了绩效目标，预算执行过程中，选取1个项目开展绩效监控，年终执行完毕后，对1个项目开展了绩效自评，2021年特定目标类部门预算项目绩效目标自评表见附件（第四部分）。</w:t>
      </w:r>
    </w:p>
    <w:p>
      <w:pPr>
        <w:spacing w:line="576" w:lineRule="exact"/>
        <w:ind w:firstLine="640" w:firstLineChars="200"/>
        <w:rPr>
          <w:rFonts w:eastAsia="仿宋_GB2312"/>
          <w:bCs/>
          <w:color w:val="000000" w:themeColor="text1"/>
          <w:sz w:val="32"/>
        </w:rPr>
      </w:pPr>
      <w:r>
        <w:rPr>
          <w:rFonts w:eastAsia="仿宋_GB2312"/>
          <w:bCs/>
          <w:color w:val="000000" w:themeColor="text1"/>
          <w:sz w:val="32"/>
        </w:rPr>
        <w:t>截至12月</w:t>
      </w:r>
      <w:r>
        <w:rPr>
          <w:rFonts w:hint="eastAsia" w:eastAsia="仿宋_GB2312"/>
          <w:bCs/>
          <w:color w:val="000000" w:themeColor="text1"/>
          <w:sz w:val="32"/>
        </w:rPr>
        <w:t>31</w:t>
      </w:r>
      <w:r>
        <w:rPr>
          <w:rFonts w:eastAsia="仿宋_GB2312"/>
          <w:bCs/>
          <w:color w:val="000000" w:themeColor="text1"/>
          <w:sz w:val="32"/>
        </w:rPr>
        <w:t xml:space="preserve">日，马尔康太平洋影城放映场次  </w:t>
      </w:r>
      <w:r>
        <w:rPr>
          <w:rFonts w:hint="eastAsia" w:eastAsia="仿宋_GB2312"/>
          <w:bCs/>
          <w:color w:val="000000" w:themeColor="text1"/>
          <w:sz w:val="32"/>
        </w:rPr>
        <w:t>2182</w:t>
      </w:r>
      <w:r>
        <w:rPr>
          <w:rFonts w:eastAsia="仿宋_GB2312"/>
          <w:bCs/>
          <w:color w:val="000000" w:themeColor="text1"/>
          <w:sz w:val="32"/>
        </w:rPr>
        <w:t>场，观众</w:t>
      </w:r>
      <w:r>
        <w:rPr>
          <w:rFonts w:hint="eastAsia" w:eastAsia="仿宋_GB2312"/>
          <w:bCs/>
          <w:color w:val="000000" w:themeColor="text1"/>
          <w:sz w:val="32"/>
        </w:rPr>
        <w:t>34301</w:t>
      </w:r>
      <w:r>
        <w:rPr>
          <w:rFonts w:eastAsia="仿宋_GB2312"/>
          <w:bCs/>
          <w:color w:val="000000" w:themeColor="text1"/>
          <w:sz w:val="32"/>
        </w:rPr>
        <w:t>人次，票房</w:t>
      </w:r>
      <w:r>
        <w:rPr>
          <w:rFonts w:hint="eastAsia" w:eastAsia="仿宋_GB2312"/>
          <w:bCs/>
          <w:color w:val="000000" w:themeColor="text1"/>
          <w:sz w:val="32"/>
        </w:rPr>
        <w:t>142.72</w:t>
      </w:r>
      <w:r>
        <w:rPr>
          <w:rFonts w:eastAsia="仿宋_GB2312"/>
          <w:bCs/>
          <w:color w:val="000000" w:themeColor="text1"/>
          <w:sz w:val="32"/>
        </w:rPr>
        <w:t>万元，商品</w:t>
      </w:r>
      <w:r>
        <w:rPr>
          <w:rFonts w:hint="eastAsia" w:eastAsia="仿宋_GB2312"/>
          <w:bCs/>
          <w:color w:val="000000" w:themeColor="text1"/>
          <w:sz w:val="32"/>
        </w:rPr>
        <w:t>17.02</w:t>
      </w:r>
      <w:r>
        <w:rPr>
          <w:rFonts w:eastAsia="仿宋_GB2312"/>
          <w:bCs/>
          <w:color w:val="000000" w:themeColor="text1"/>
          <w:sz w:val="32"/>
        </w:rPr>
        <w:t>万元，</w:t>
      </w:r>
      <w:r>
        <w:rPr>
          <w:rFonts w:hint="eastAsia" w:eastAsia="仿宋_GB2312"/>
          <w:bCs/>
          <w:color w:val="000000" w:themeColor="text1"/>
          <w:sz w:val="32"/>
        </w:rPr>
        <w:t>合计：159.74万元。</w:t>
      </w:r>
      <w:r>
        <w:rPr>
          <w:rFonts w:hint="eastAsia" w:ascii="宋体" w:hAnsi="宋体" w:eastAsia="仿宋_GB2312" w:cs="宋体"/>
          <w:kern w:val="0"/>
          <w:sz w:val="32"/>
          <w:szCs w:val="32"/>
        </w:rPr>
        <w:t>影城运行费44.02万元。</w:t>
      </w:r>
      <w:r>
        <w:rPr>
          <w:rFonts w:hint="eastAsia" w:ascii="仿宋_GB2312" w:hAnsi="宋体" w:eastAsia="仿宋_GB2312" w:cs="宋体"/>
          <w:kern w:val="0"/>
          <w:sz w:val="32"/>
          <w:szCs w:val="32"/>
        </w:rPr>
        <w:t>用于影城劳务费28.91万元，电费2.63万元，物业管理4.18万元，维修费3.6万元，邮电费1.3万，办公费3.4万元。</w:t>
      </w:r>
    </w:p>
    <w:p>
      <w:pPr>
        <w:autoSpaceDE w:val="0"/>
        <w:autoSpaceDN w:val="0"/>
        <w:adjustRightInd w:val="0"/>
        <w:spacing w:line="600" w:lineRule="exact"/>
        <w:ind w:firstLine="643" w:firstLineChars="200"/>
        <w:rPr>
          <w:rFonts w:ascii="仿宋" w:eastAsia="仿宋"/>
          <w:b/>
          <w:sz w:val="32"/>
          <w:szCs w:val="32"/>
        </w:rPr>
      </w:pPr>
      <w:r>
        <w:rPr>
          <w:rFonts w:hint="eastAsia" w:ascii="仿宋" w:eastAsia="仿宋"/>
          <w:b/>
          <w:sz w:val="32"/>
          <w:szCs w:val="32"/>
        </w:rPr>
        <w:t>（注：单位</w:t>
      </w:r>
      <w:r>
        <w:rPr>
          <w:rFonts w:hint="eastAsia" w:ascii="仿宋_GB2312" w:eastAsia="仿宋_GB2312" w:cs="仿宋_GB2312"/>
          <w:b/>
          <w:sz w:val="32"/>
          <w:szCs w:val="32"/>
        </w:rPr>
        <w:t>2021年特定目标类部门预算项目绩效目标自评表为本部门2021年部门整体支出绩效评价报告中涉及本单位的附表</w:t>
      </w:r>
      <w:r>
        <w:rPr>
          <w:rFonts w:hint="eastAsia" w:ascii="仿宋" w:eastAsia="仿宋"/>
          <w:b/>
          <w:sz w:val="32"/>
          <w:szCs w:val="32"/>
        </w:rPr>
        <w:t>）</w:t>
      </w:r>
    </w:p>
    <w:p>
      <w:pPr>
        <w:pStyle w:val="2"/>
        <w:spacing w:before="93"/>
        <w:rPr>
          <w:highlight w:val="yellow"/>
        </w:rPr>
      </w:pP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4"/>
        </w:numPr>
        <w:spacing w:line="600" w:lineRule="exact"/>
        <w:ind w:firstLine="660" w:firstLineChars="150"/>
        <w:jc w:val="center"/>
        <w:outlineLvl w:val="0"/>
        <w:rPr>
          <w:rStyle w:val="18"/>
          <w:rFonts w:ascii="黑体" w:eastAsia="黑体"/>
          <w:b w:val="0"/>
        </w:rPr>
      </w:pPr>
      <w:bookmarkStart w:id="73" w:name="_Toc15377225"/>
      <w:bookmarkStart w:id="74" w:name="_Toc15396613"/>
      <w:bookmarkStart w:id="75" w:name="_Toc14108"/>
      <w:r>
        <w:rPr>
          <w:rFonts w:hint="eastAsia" w:ascii="黑体" w:eastAsia="黑体"/>
          <w:sz w:val="44"/>
          <w:szCs w:val="44"/>
        </w:rPr>
        <w:t>名</w:t>
      </w:r>
      <w:r>
        <w:rPr>
          <w:rStyle w:val="18"/>
          <w:rFonts w:hint="eastAsia" w:ascii="黑体" w:eastAsia="黑体"/>
          <w:b w:val="0"/>
        </w:rPr>
        <w:t>词解释</w:t>
      </w:r>
      <w:bookmarkEnd w:id="73"/>
      <w:bookmarkEnd w:id="74"/>
      <w:bookmarkEnd w:id="75"/>
    </w:p>
    <w:p>
      <w:pPr>
        <w:spacing w:line="600" w:lineRule="exact"/>
        <w:jc w:val="left"/>
        <w:rPr>
          <w:rFonts w:ascii="宋体"/>
          <w:b/>
          <w:sz w:val="44"/>
          <w:szCs w:val="44"/>
        </w:rPr>
      </w:pP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lang w:eastAsia="zh-CN"/>
        </w:rPr>
        <w:t>.</w:t>
      </w:r>
      <w:r>
        <w:rPr>
          <w:rFonts w:hint="eastAsia" w:ascii="仿宋_GB2312" w:eastAsia="仿宋_GB2312"/>
          <w:color w:val="auto"/>
          <w:sz w:val="32"/>
          <w:szCs w:val="32"/>
        </w:rPr>
        <w:t>年末结转和结余：指单位按有关规定结转到下年或以后年度继续使用的资金。</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9.文化体育与传媒（类）其他文化体育与传媒（款）宣传文化发展专项支出（项）：指宣传部按照国家有关政策支持宣传文化单位发展的专项支出。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10.社会保障和就业支出（类）行政事业单位离退休（款）机关事业单位基本养老保险缴费（项）：指机关事业单位实施养老保险制度由单位缴纳的基本养老保险费支出。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11.社会保障和就业支出（类）行政事业单位离退休（款）机关事业单位职业年金缴费（项）：指机关事业单位实施养老保险制度由单位实际缴纳的职业年金支出。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12.医疗卫生与计划生育支出（类）行政事业单位医疗（款）行政单位医疗（项）：指由行政单位缴纳的医疗保险费支出。</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13.医疗卫生与计划生育支出（类）行政事业单位医疗（款）公务员医疗补助（项）：指由行政单位缴纳的公务员医疗补助费。</w:t>
      </w:r>
    </w:p>
    <w:p>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14.住房保障支出（类）住房改革支出（款）住房公积金（项）：按人力资源和社会保障部、财政部规定的基本工资和津补贴以及规定比例为职工缴纳的住房公积金。</w:t>
      </w:r>
    </w:p>
    <w:p>
      <w:pPr>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18</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bookmarkStart w:id="76" w:name="_Toc15396614"/>
      <w:bookmarkStart w:id="77" w:name="_Toc15377226"/>
      <w:r>
        <w:rPr>
          <w:rFonts w:hint="eastAsia" w:ascii="仿宋_GB2312" w:eastAsia="仿宋_GB2312"/>
          <w:sz w:val="32"/>
          <w:szCs w:val="32"/>
        </w:rPr>
        <w:t>19．人员经费:为保障的各类劳动报酬以及缴纳的社会各项社会保险费，包括基本工资、津贴补贴、奖金、其他社会保障缴费、伙食补助费、绩效工资、机关事业单位基本养老保险缴费、职业年金缴费其他社会保障缴费、其他工资福利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20.对个人和家庭的补助：为保障个人和家庭的补助支出，包括离休费、退休费、抚恤金、生活补助、救济费、医疗费、助学金、奖励金、生产补贴、住房公积金、提租补贴、购房补贴、采暖补贴、其他对个人和家庭的补助支出。</w:t>
      </w:r>
    </w:p>
    <w:p>
      <w:pPr>
        <w:spacing w:line="600" w:lineRule="exact"/>
        <w:jc w:val="center"/>
        <w:outlineLvl w:val="9"/>
        <w:rPr>
          <w:rFonts w:ascii="黑体" w:eastAsia="黑体"/>
          <w:sz w:val="44"/>
          <w:szCs w:val="44"/>
        </w:rPr>
      </w:pPr>
      <w:r>
        <w:rPr>
          <w:rFonts w:ascii="宋体"/>
          <w:b/>
          <w:sz w:val="44"/>
          <w:szCs w:val="44"/>
        </w:rPr>
        <w:br w:type="page"/>
      </w:r>
    </w:p>
    <w:p>
      <w:pPr>
        <w:spacing w:line="600" w:lineRule="exact"/>
        <w:jc w:val="center"/>
        <w:outlineLvl w:val="0"/>
        <w:rPr>
          <w:rStyle w:val="18"/>
          <w:rFonts w:ascii="黑体" w:eastAsia="黑体"/>
          <w:b w:val="0"/>
        </w:rPr>
      </w:pPr>
      <w:bookmarkStart w:id="78" w:name="_Toc2525"/>
      <w:r>
        <w:rPr>
          <w:rFonts w:hint="eastAsia" w:ascii="黑体" w:eastAsia="黑体"/>
          <w:sz w:val="44"/>
          <w:szCs w:val="44"/>
        </w:rPr>
        <w:t>第</w:t>
      </w:r>
      <w:r>
        <w:rPr>
          <w:rStyle w:val="18"/>
          <w:rFonts w:hint="eastAsia" w:ascii="黑体" w:eastAsia="黑体"/>
          <w:b w:val="0"/>
        </w:rPr>
        <w:t>四部分 附件</w:t>
      </w:r>
      <w:bookmarkEnd w:id="76"/>
      <w:bookmarkEnd w:id="78"/>
    </w:p>
    <w:p>
      <w:pPr>
        <w:spacing w:line="572" w:lineRule="exact"/>
        <w:jc w:val="center"/>
        <w:rPr>
          <w:rFonts w:ascii="方正小标宋简体" w:eastAsia="方正小标宋简体"/>
          <w:kern w:val="0"/>
          <w:sz w:val="40"/>
          <w:szCs w:val="44"/>
          <w:lang w:val="zh-CN"/>
        </w:rPr>
      </w:pPr>
      <w:r>
        <w:rPr>
          <w:rFonts w:hint="eastAsia" w:ascii="方正小标宋简体" w:eastAsia="方正小标宋简体"/>
          <w:kern w:val="0"/>
          <w:sz w:val="40"/>
          <w:szCs w:val="44"/>
        </w:rPr>
        <w:t>2021年州电影服务中心项目绩效评价报告</w:t>
      </w:r>
    </w:p>
    <w:p>
      <w:pPr>
        <w:jc w:val="center"/>
        <w:rPr>
          <w:rFonts w:ascii="方正小标宋简体" w:eastAsia="方正小标宋简体"/>
          <w:sz w:val="44"/>
          <w:szCs w:val="44"/>
        </w:rPr>
      </w:pPr>
      <w:r>
        <w:rPr>
          <w:rFonts w:hint="eastAsia" w:ascii="方正小标宋简体" w:eastAsia="方正小标宋简体"/>
          <w:sz w:val="44"/>
          <w:szCs w:val="44"/>
        </w:rPr>
        <w:t>（影城运行费）</w:t>
      </w:r>
    </w:p>
    <w:p>
      <w:pPr>
        <w:numPr>
          <w:ilvl w:val="0"/>
          <w:numId w:val="5"/>
        </w:numPr>
        <w:outlineLvl w:val="1"/>
        <w:rPr>
          <w:rFonts w:ascii="黑体" w:eastAsia="黑体"/>
          <w:sz w:val="32"/>
          <w:szCs w:val="32"/>
        </w:rPr>
      </w:pPr>
      <w:bookmarkStart w:id="79" w:name="_Toc29891"/>
      <w:r>
        <w:rPr>
          <w:rFonts w:hint="eastAsia" w:ascii="黑体" w:eastAsia="黑体"/>
          <w:sz w:val="32"/>
          <w:szCs w:val="32"/>
        </w:rPr>
        <w:t>项目概况</w:t>
      </w:r>
      <w:bookmarkEnd w:id="79"/>
    </w:p>
    <w:p>
      <w:pPr>
        <w:rPr>
          <w:rFonts w:ascii="黑体" w:eastAsia="黑体"/>
          <w:sz w:val="32"/>
          <w:szCs w:val="32"/>
        </w:rPr>
      </w:pPr>
      <w:r>
        <w:rPr>
          <w:rFonts w:hint="eastAsia" w:ascii="黑体" w:eastAsia="黑体"/>
          <w:sz w:val="32"/>
          <w:szCs w:val="32"/>
        </w:rPr>
        <w:t>（一）基本情况</w:t>
      </w:r>
    </w:p>
    <w:p>
      <w:pPr>
        <w:ind w:firstLine="640" w:firstLineChars="200"/>
        <w:rPr>
          <w:rFonts w:ascii="仿宋_GB2312" w:eastAsia="仿宋_GB2312"/>
          <w:sz w:val="32"/>
          <w:szCs w:val="32"/>
        </w:rPr>
      </w:pPr>
      <w:r>
        <w:rPr>
          <w:rFonts w:hint="eastAsia" w:ascii="仿宋_GB2312" w:eastAsia="仿宋_GB2312"/>
          <w:sz w:val="32"/>
          <w:szCs w:val="32"/>
        </w:rPr>
        <w:t>马尔康太平洋电影城位于川西北高原的阿坝藏族羌族自治州州府所在地马尔康市，是全州政治、文化、金融、信息中心，有常住人口（藏、羌、回、汉等各族群众）5万余人。属于阿坝州电影服务中心，加盟四川太平洋电影院线，由中心负责经营管理。</w:t>
      </w:r>
    </w:p>
    <w:p>
      <w:pPr>
        <w:ind w:firstLine="640" w:firstLineChars="200"/>
        <w:rPr>
          <w:rFonts w:ascii="仿宋_GB2312" w:eastAsia="仿宋_GB2312"/>
          <w:sz w:val="32"/>
          <w:szCs w:val="32"/>
        </w:rPr>
      </w:pPr>
      <w:r>
        <w:rPr>
          <w:rFonts w:hint="eastAsia" w:ascii="仿宋_GB2312" w:eastAsia="仿宋_GB2312"/>
          <w:sz w:val="32"/>
          <w:szCs w:val="32"/>
        </w:rPr>
        <w:t>目前，马尔康太平洋电影城拥有与全国同步上映的</w:t>
      </w:r>
      <w:r>
        <w:rPr>
          <w:rFonts w:hint="eastAsia" w:ascii="仿宋_GB2312" w:hAnsi="宋体" w:eastAsia="仿宋_GB2312"/>
          <w:sz w:val="32"/>
          <w:szCs w:val="32"/>
        </w:rPr>
        <w:t>多功能豪华影厅3个</w:t>
      </w:r>
      <w:r>
        <w:rPr>
          <w:rFonts w:hint="eastAsia" w:ascii="仿宋_GB2312" w:eastAsia="仿宋_GB2312"/>
          <w:sz w:val="32"/>
          <w:szCs w:val="32"/>
        </w:rPr>
        <w:t>（2D影厅1个、3D影厅2个）</w:t>
      </w:r>
      <w:r>
        <w:rPr>
          <w:rFonts w:hint="eastAsia" w:ascii="仿宋_GB2312" w:hAnsi="宋体" w:eastAsia="仿宋_GB2312"/>
          <w:sz w:val="32"/>
          <w:szCs w:val="32"/>
        </w:rPr>
        <w:t>，观众坐席274个，影城总面积1100平方米，装修总投资500余万元。</w:t>
      </w:r>
      <w:r>
        <w:rPr>
          <w:rFonts w:hint="eastAsia" w:ascii="仿宋_GB2312" w:eastAsia="仿宋_GB2312"/>
          <w:sz w:val="32"/>
          <w:szCs w:val="32"/>
        </w:rPr>
        <w:t>影院设计先进、时尚，观影环境舒适，使用专业级的影音还原系统，视听效果属州内最好。影城的建设落成既是宣传、弘扬社会主义先进文化的前沿阵地，也是各族群众汲取精神营养、分享文化建设成果的重要场所。</w:t>
      </w:r>
    </w:p>
    <w:p>
      <w:pPr>
        <w:ind w:firstLine="643" w:firstLineChars="200"/>
        <w:rPr>
          <w:rFonts w:ascii="黑体" w:eastAsia="黑体"/>
          <w:b/>
          <w:sz w:val="32"/>
          <w:szCs w:val="32"/>
        </w:rPr>
      </w:pPr>
      <w:r>
        <w:rPr>
          <w:rFonts w:hint="eastAsia" w:ascii="黑体" w:eastAsia="黑体"/>
          <w:b/>
          <w:sz w:val="32"/>
          <w:szCs w:val="32"/>
        </w:rPr>
        <w:t>（二）人员情况</w:t>
      </w:r>
    </w:p>
    <w:p>
      <w:pPr>
        <w:ind w:firstLine="640" w:firstLineChars="200"/>
        <w:rPr>
          <w:rFonts w:ascii="仿宋_GB2312" w:eastAsia="仿宋_GB2312"/>
          <w:sz w:val="32"/>
          <w:szCs w:val="32"/>
        </w:rPr>
      </w:pPr>
      <w:r>
        <w:rPr>
          <w:rFonts w:hint="eastAsia" w:ascii="仿宋_GB2312" w:eastAsia="仿宋_GB2312"/>
          <w:sz w:val="32"/>
          <w:szCs w:val="32"/>
        </w:rPr>
        <w:t>从2020年疫情以来，马尔康太平洋电影城经营困难，人员流动较大，因此，为了更好的管理临聘人员，于2021年4月开始陆续由自身聘用转变为第三方劳务派遣的用工方式，才确保了影城人才队伍的稳定性。影城现有人员7人，其中在编人员1人（担任影城经理1名）、临聘人员6人（选聘管理人员3名）。2021年预算影城运行支出44.02万元。</w:t>
      </w:r>
    </w:p>
    <w:p>
      <w:pPr>
        <w:ind w:firstLine="640" w:firstLineChars="200"/>
        <w:rPr>
          <w:rFonts w:ascii="仿宋_GB2312" w:eastAsia="仿宋_GB2312"/>
          <w:sz w:val="32"/>
          <w:szCs w:val="32"/>
        </w:rPr>
      </w:pPr>
      <w:r>
        <w:rPr>
          <w:rFonts w:hint="eastAsia" w:ascii="仿宋_GB2312" w:hAnsi="宋体" w:eastAsia="仿宋_GB2312" w:cs="宋体"/>
          <w:color w:val="4A4A4A"/>
          <w:kern w:val="0"/>
          <w:sz w:val="32"/>
          <w:szCs w:val="32"/>
        </w:rPr>
        <w:t>绩效总体目标：</w:t>
      </w:r>
      <w:r>
        <w:rPr>
          <w:rFonts w:hint="eastAsia" w:ascii="仿宋_GB2312" w:eastAsia="仿宋_GB2312"/>
          <w:bCs/>
          <w:color w:val="000000"/>
          <w:sz w:val="32"/>
          <w:szCs w:val="32"/>
        </w:rPr>
        <w:t>推进民族文化特色、艺术创新影片和放映，促进国产影片票房稳步增长，推动电影事业产业发展。</w:t>
      </w:r>
    </w:p>
    <w:p>
      <w:pPr>
        <w:numPr>
          <w:ilvl w:val="0"/>
          <w:numId w:val="5"/>
        </w:numPr>
        <w:outlineLvl w:val="1"/>
        <w:rPr>
          <w:rFonts w:ascii="黑体" w:eastAsia="黑体"/>
          <w:b/>
          <w:sz w:val="32"/>
          <w:szCs w:val="32"/>
        </w:rPr>
      </w:pPr>
      <w:bookmarkStart w:id="80" w:name="_Toc28993"/>
      <w:r>
        <w:rPr>
          <w:rFonts w:hint="eastAsia" w:ascii="黑体" w:eastAsia="黑体"/>
          <w:b/>
          <w:sz w:val="32"/>
          <w:szCs w:val="32"/>
        </w:rPr>
        <w:t>项目实施及管理情况</w:t>
      </w:r>
      <w:bookmarkEnd w:id="80"/>
    </w:p>
    <w:p>
      <w:pPr>
        <w:rPr>
          <w:rFonts w:ascii="黑体" w:eastAsia="黑体"/>
          <w:b/>
          <w:sz w:val="32"/>
          <w:szCs w:val="32"/>
        </w:rPr>
      </w:pPr>
      <w:r>
        <w:rPr>
          <w:rFonts w:hint="eastAsia" w:ascii="黑体" w:eastAsia="黑体"/>
          <w:b/>
          <w:sz w:val="32"/>
          <w:szCs w:val="32"/>
        </w:rPr>
        <w:t>（一）项目管理情况</w:t>
      </w:r>
    </w:p>
    <w:p>
      <w:pPr>
        <w:tabs>
          <w:tab w:val="left" w:pos="935"/>
        </w:tabs>
        <w:rPr>
          <w:rFonts w:ascii="仿宋_GB2312" w:eastAsia="仿宋_GB2312"/>
          <w:sz w:val="32"/>
          <w:szCs w:val="32"/>
        </w:rPr>
      </w:pPr>
      <w:r>
        <w:rPr>
          <w:rFonts w:ascii="仿宋_GB2312" w:eastAsia="仿宋_GB2312"/>
          <w:sz w:val="32"/>
          <w:szCs w:val="32"/>
        </w:rPr>
        <w:tab/>
      </w:r>
      <w:r>
        <w:rPr>
          <w:rFonts w:hint="eastAsia" w:ascii="仿宋_GB2312" w:eastAsia="仿宋_GB2312"/>
          <w:color w:val="333333"/>
          <w:sz w:val="32"/>
          <w:szCs w:val="32"/>
          <w:shd w:val="clear" w:color="auto" w:fill="FFFFFF"/>
        </w:rPr>
        <w:t>一是各资金使用科室在项目开展之前制定尽量详尽的费用预算，在项目开展过程中严格按照预算标准执行。二是重视信息传递。在资金支出过程中加强业务人员与财务人员的沟通，使财务人员及时了解项目进度，及时安排项目资金。三是在项目完成后业务经办人员及时进行项目报销工作，并进行项目资金的使用情况分析，形成专门项目决算。</w:t>
      </w:r>
    </w:p>
    <w:p>
      <w:pPr>
        <w:rPr>
          <w:rFonts w:ascii="黑体" w:eastAsia="黑体"/>
          <w:b/>
          <w:sz w:val="32"/>
          <w:szCs w:val="32"/>
        </w:rPr>
      </w:pPr>
      <w:r>
        <w:rPr>
          <w:rFonts w:hint="eastAsia" w:ascii="黑体" w:eastAsia="黑体"/>
          <w:b/>
          <w:sz w:val="32"/>
          <w:szCs w:val="32"/>
        </w:rPr>
        <w:t>（二）项目实施</w:t>
      </w:r>
    </w:p>
    <w:p>
      <w:pPr>
        <w:tabs>
          <w:tab w:val="left" w:pos="676"/>
        </w:tabs>
        <w:rPr>
          <w:rFonts w:ascii="仿宋_GB2312" w:eastAsia="仿宋_GB2312"/>
          <w:sz w:val="32"/>
          <w:szCs w:val="32"/>
        </w:rPr>
      </w:pPr>
      <w:r>
        <w:rPr>
          <w:rFonts w:ascii="仿宋_GB2312" w:eastAsia="仿宋_GB2312"/>
          <w:sz w:val="32"/>
          <w:szCs w:val="32"/>
        </w:rPr>
        <w:tab/>
      </w:r>
      <w:r>
        <w:rPr>
          <w:color w:val="333333"/>
          <w:sz w:val="32"/>
          <w:szCs w:val="32"/>
          <w:shd w:val="clear" w:color="auto" w:fill="FFFFFF"/>
        </w:rPr>
        <w:t>20</w:t>
      </w:r>
      <w:r>
        <w:rPr>
          <w:rFonts w:hint="eastAsia"/>
          <w:color w:val="333333"/>
          <w:sz w:val="32"/>
          <w:szCs w:val="32"/>
          <w:shd w:val="clear" w:color="auto" w:fill="FFFFFF"/>
        </w:rPr>
        <w:t>21</w:t>
      </w:r>
      <w:r>
        <w:rPr>
          <w:rFonts w:hint="eastAsia" w:ascii="仿宋_GB2312" w:eastAsia="仿宋_GB2312"/>
          <w:color w:val="333333"/>
          <w:sz w:val="32"/>
          <w:szCs w:val="32"/>
          <w:shd w:val="clear" w:color="auto" w:fill="FFFFFF"/>
        </w:rPr>
        <w:t>年影城运行支出资金</w:t>
      </w:r>
      <w:r>
        <w:rPr>
          <w:color w:val="333333"/>
          <w:sz w:val="32"/>
          <w:szCs w:val="32"/>
          <w:shd w:val="clear" w:color="auto" w:fill="FFFFFF"/>
        </w:rPr>
        <w:t>4</w:t>
      </w:r>
      <w:r>
        <w:rPr>
          <w:rFonts w:hint="eastAsia"/>
          <w:color w:val="333333"/>
          <w:sz w:val="32"/>
          <w:szCs w:val="32"/>
          <w:shd w:val="clear" w:color="auto" w:fill="FFFFFF"/>
        </w:rPr>
        <w:t>4.02</w:t>
      </w:r>
      <w:r>
        <w:rPr>
          <w:rFonts w:hint="eastAsia" w:ascii="仿宋_GB2312" w:eastAsia="仿宋_GB2312"/>
          <w:color w:val="333333"/>
          <w:sz w:val="32"/>
          <w:szCs w:val="32"/>
          <w:shd w:val="clear" w:color="auto" w:fill="FFFFFF"/>
        </w:rPr>
        <w:t>万元，</w:t>
      </w:r>
      <w:r>
        <w:rPr>
          <w:rFonts w:hint="eastAsia" w:ascii="仿宋_GB2312" w:hAnsi="宋体" w:eastAsia="仿宋_GB2312"/>
          <w:sz w:val="32"/>
          <w:szCs w:val="32"/>
        </w:rPr>
        <w:t>用于影城劳务费28.91</w:t>
      </w:r>
      <w:r>
        <w:rPr>
          <w:rFonts w:hint="eastAsia" w:ascii="仿宋_GB2312" w:hAnsi="宋体" w:eastAsia="仿宋_GB2312" w:cs="宋体"/>
          <w:sz w:val="32"/>
          <w:szCs w:val="32"/>
        </w:rPr>
        <w:t>万元</w:t>
      </w:r>
      <w:r>
        <w:rPr>
          <w:rFonts w:hint="eastAsia" w:ascii="仿宋_GB2312" w:hAnsi="宋体" w:eastAsia="仿宋_GB2312"/>
          <w:sz w:val="32"/>
          <w:szCs w:val="32"/>
        </w:rPr>
        <w:t>，电费2.63</w:t>
      </w:r>
      <w:r>
        <w:rPr>
          <w:rFonts w:hint="eastAsia" w:ascii="仿宋_GB2312" w:hAnsi="宋体" w:eastAsia="仿宋_GB2312" w:cs="宋体"/>
          <w:sz w:val="32"/>
          <w:szCs w:val="32"/>
        </w:rPr>
        <w:t>万元</w:t>
      </w:r>
      <w:r>
        <w:rPr>
          <w:rFonts w:hint="eastAsia" w:ascii="仿宋_GB2312" w:hAnsi="宋体" w:eastAsia="仿宋_GB2312"/>
          <w:sz w:val="32"/>
          <w:szCs w:val="32"/>
        </w:rPr>
        <w:t>，物业管理4.18</w:t>
      </w:r>
      <w:r>
        <w:rPr>
          <w:rFonts w:hint="eastAsia" w:ascii="仿宋_GB2312" w:hAnsi="宋体" w:eastAsia="仿宋_GB2312" w:cs="宋体"/>
          <w:sz w:val="32"/>
          <w:szCs w:val="32"/>
        </w:rPr>
        <w:t>万元</w:t>
      </w:r>
      <w:r>
        <w:rPr>
          <w:rFonts w:hint="eastAsia" w:ascii="仿宋_GB2312" w:hAnsi="宋体" w:eastAsia="仿宋_GB2312"/>
          <w:sz w:val="32"/>
          <w:szCs w:val="32"/>
        </w:rPr>
        <w:t>，维修费3.6</w:t>
      </w:r>
      <w:r>
        <w:rPr>
          <w:rFonts w:hint="eastAsia" w:ascii="仿宋_GB2312" w:hAnsi="宋体" w:eastAsia="仿宋_GB2312" w:cs="宋体"/>
          <w:sz w:val="32"/>
          <w:szCs w:val="32"/>
        </w:rPr>
        <w:t>万元</w:t>
      </w:r>
      <w:r>
        <w:rPr>
          <w:rFonts w:hint="eastAsia" w:ascii="仿宋_GB2312" w:hAnsi="宋体" w:eastAsia="仿宋_GB2312"/>
          <w:sz w:val="32"/>
          <w:szCs w:val="32"/>
        </w:rPr>
        <w:t>，办公费3.4</w:t>
      </w:r>
      <w:r>
        <w:rPr>
          <w:rFonts w:hint="eastAsia" w:ascii="仿宋_GB2312" w:hAnsi="宋体" w:eastAsia="仿宋_GB2312" w:cs="宋体"/>
          <w:sz w:val="32"/>
          <w:szCs w:val="32"/>
        </w:rPr>
        <w:t>万元，邮电费1.3万元</w:t>
      </w:r>
      <w:r>
        <w:rPr>
          <w:rFonts w:hint="eastAsia" w:ascii="仿宋_GB2312" w:hAnsi="宋体" w:eastAsia="仿宋_GB2312"/>
          <w:sz w:val="32"/>
          <w:szCs w:val="32"/>
        </w:rPr>
        <w:t>。</w:t>
      </w:r>
    </w:p>
    <w:p>
      <w:pPr>
        <w:widowControl/>
        <w:shd w:val="clear" w:color="auto" w:fill="FFFFFF"/>
        <w:spacing w:before="68" w:after="68"/>
        <w:jc w:val="left"/>
        <w:outlineLvl w:val="1"/>
        <w:rPr>
          <w:rFonts w:ascii="黑体" w:eastAsia="黑体"/>
          <w:sz w:val="32"/>
          <w:szCs w:val="32"/>
        </w:rPr>
      </w:pPr>
      <w:bookmarkStart w:id="81" w:name="_Toc20513"/>
      <w:r>
        <w:rPr>
          <w:rFonts w:hint="eastAsia" w:ascii="黑体" w:hAnsi="微软雅黑" w:eastAsia="黑体"/>
          <w:b/>
          <w:bCs/>
          <w:color w:val="333333"/>
          <w:sz w:val="32"/>
          <w:szCs w:val="32"/>
        </w:rPr>
        <w:t>三、项目绩效情况</w:t>
      </w:r>
      <w:bookmarkEnd w:id="81"/>
    </w:p>
    <w:p>
      <w:pPr>
        <w:ind w:firstLine="640" w:firstLineChars="200"/>
        <w:rPr>
          <w:rFonts w:ascii="仿宋_GB2312" w:eastAsia="仿宋_GB2312"/>
          <w:sz w:val="32"/>
          <w:szCs w:val="32"/>
        </w:rPr>
      </w:pPr>
      <w:r>
        <w:rPr>
          <w:rFonts w:eastAsia="微软雅黑"/>
          <w:b/>
          <w:bCs/>
          <w:color w:val="333333"/>
          <w:sz w:val="32"/>
          <w:szCs w:val="32"/>
        </w:rPr>
        <w:t>1</w:t>
      </w:r>
      <w:r>
        <w:rPr>
          <w:rFonts w:hint="eastAsia" w:ascii="仿宋_GB2312" w:hAnsi="微软雅黑" w:eastAsia="仿宋_GB2312"/>
          <w:b/>
          <w:bCs/>
          <w:color w:val="333333"/>
          <w:sz w:val="32"/>
          <w:szCs w:val="32"/>
        </w:rPr>
        <w:t>、投入情况。</w:t>
      </w:r>
      <w:r>
        <w:rPr>
          <w:rFonts w:hint="eastAsia" w:ascii="仿宋_GB2312" w:hAnsi="微软雅黑" w:eastAsia="仿宋_GB2312"/>
          <w:color w:val="333333"/>
          <w:sz w:val="32"/>
          <w:szCs w:val="32"/>
        </w:rPr>
        <w:t>自评得分</w:t>
      </w:r>
      <w:r>
        <w:rPr>
          <w:rFonts w:eastAsia="微软雅黑"/>
          <w:color w:val="333333"/>
          <w:sz w:val="32"/>
          <w:szCs w:val="32"/>
        </w:rPr>
        <w:t>30</w:t>
      </w:r>
      <w:r>
        <w:rPr>
          <w:rFonts w:hint="eastAsia" w:ascii="仿宋_GB2312" w:hAnsi="微软雅黑" w:eastAsia="仿宋_GB2312"/>
          <w:color w:val="333333"/>
          <w:sz w:val="32"/>
          <w:szCs w:val="32"/>
        </w:rPr>
        <w:t>分。</w:t>
      </w:r>
      <w:r>
        <w:rPr>
          <w:rFonts w:eastAsia="仿宋_GB2312"/>
          <w:sz w:val="32"/>
          <w:szCs w:val="32"/>
        </w:rPr>
        <w:t>马尔康太平洋影城放映设备陈旧落后</w:t>
      </w:r>
      <w:r>
        <w:rPr>
          <w:rFonts w:hint="eastAsia" w:eastAsia="仿宋_GB2312"/>
          <w:sz w:val="32"/>
          <w:szCs w:val="32"/>
        </w:rPr>
        <w:t>，需一机一人，专人负责放映，</w:t>
      </w:r>
      <w:r>
        <w:rPr>
          <w:rFonts w:eastAsia="仿宋_GB2312"/>
          <w:sz w:val="32"/>
          <w:szCs w:val="32"/>
        </w:rPr>
        <w:t>费时费</w:t>
      </w:r>
      <w:r>
        <w:rPr>
          <w:rFonts w:hint="eastAsia" w:eastAsia="仿宋_GB2312"/>
          <w:sz w:val="32"/>
          <w:szCs w:val="32"/>
        </w:rPr>
        <w:t>工。</w:t>
      </w:r>
      <w:r>
        <w:rPr>
          <w:rFonts w:eastAsia="仿宋_GB2312"/>
          <w:sz w:val="32"/>
          <w:szCs w:val="32"/>
        </w:rPr>
        <w:t>为适应</w:t>
      </w:r>
      <w:r>
        <w:rPr>
          <w:rFonts w:hint="eastAsia" w:eastAsia="仿宋_GB2312"/>
          <w:sz w:val="32"/>
          <w:szCs w:val="32"/>
        </w:rPr>
        <w:t>现代</w:t>
      </w:r>
      <w:r>
        <w:rPr>
          <w:rFonts w:eastAsia="仿宋_GB2312"/>
          <w:sz w:val="32"/>
          <w:szCs w:val="32"/>
        </w:rPr>
        <w:t>放映自动化的需要</w:t>
      </w:r>
      <w:r>
        <w:rPr>
          <w:rFonts w:hint="eastAsia" w:eastAsia="仿宋_GB2312"/>
          <w:sz w:val="32"/>
          <w:szCs w:val="32"/>
        </w:rPr>
        <w:t>，实现提档升级，进一步提高</w:t>
      </w:r>
      <w:r>
        <w:rPr>
          <w:rFonts w:eastAsia="仿宋_GB2312"/>
          <w:sz w:val="32"/>
          <w:szCs w:val="32"/>
        </w:rPr>
        <w:t>放映效率</w:t>
      </w:r>
      <w:r>
        <w:rPr>
          <w:rFonts w:hint="eastAsia" w:eastAsia="仿宋_GB2312"/>
          <w:sz w:val="32"/>
          <w:szCs w:val="32"/>
        </w:rPr>
        <w:t>，</w:t>
      </w:r>
      <w:r>
        <w:rPr>
          <w:rFonts w:eastAsia="仿宋_GB2312"/>
          <w:sz w:val="32"/>
          <w:szCs w:val="32"/>
        </w:rPr>
        <w:t>节约人力</w:t>
      </w:r>
      <w:r>
        <w:rPr>
          <w:rFonts w:hint="eastAsia" w:eastAsia="仿宋_GB2312"/>
          <w:sz w:val="32"/>
          <w:szCs w:val="32"/>
        </w:rPr>
        <w:t>财力，</w:t>
      </w:r>
      <w:r>
        <w:rPr>
          <w:rFonts w:hint="eastAsia" w:ascii="仿宋_GB2312" w:eastAsia="仿宋_GB2312"/>
          <w:sz w:val="32"/>
          <w:szCs w:val="32"/>
        </w:rPr>
        <w:t>2021年8月</w:t>
      </w:r>
      <w:r>
        <w:rPr>
          <w:rFonts w:eastAsia="仿宋_GB2312"/>
          <w:sz w:val="32"/>
          <w:szCs w:val="32"/>
        </w:rPr>
        <w:t>购买</w:t>
      </w:r>
      <w:r>
        <w:rPr>
          <w:rFonts w:hint="eastAsia" w:eastAsia="仿宋_GB2312"/>
          <w:sz w:val="32"/>
          <w:szCs w:val="32"/>
        </w:rPr>
        <w:t>自动化</w:t>
      </w:r>
      <w:r>
        <w:rPr>
          <w:rFonts w:eastAsia="仿宋_GB2312"/>
          <w:sz w:val="32"/>
          <w:szCs w:val="32"/>
        </w:rPr>
        <w:t>放映系统</w:t>
      </w:r>
      <w:r>
        <w:rPr>
          <w:rFonts w:hint="eastAsia" w:eastAsia="仿宋_GB2312"/>
          <w:sz w:val="32"/>
          <w:szCs w:val="32"/>
        </w:rPr>
        <w:t>TMS（影院管理系统）一套。</w:t>
      </w:r>
      <w:r>
        <w:rPr>
          <w:rFonts w:hint="eastAsia" w:ascii="仿宋_GB2312" w:eastAsia="仿宋_GB2312"/>
          <w:sz w:val="32"/>
          <w:szCs w:val="32"/>
        </w:rPr>
        <w:t>为影城节约大量的人力，物力，时间等成本。</w:t>
      </w:r>
    </w:p>
    <w:p>
      <w:pPr>
        <w:ind w:firstLine="960" w:firstLineChars="300"/>
        <w:rPr>
          <w:rFonts w:ascii="仿宋_GB2312" w:eastAsia="仿宋_GB2312"/>
          <w:sz w:val="32"/>
          <w:szCs w:val="32"/>
        </w:rPr>
      </w:pPr>
      <w:r>
        <w:rPr>
          <w:rFonts w:eastAsia="微软雅黑"/>
          <w:b/>
          <w:bCs/>
          <w:color w:val="333333"/>
          <w:sz w:val="32"/>
          <w:szCs w:val="32"/>
        </w:rPr>
        <w:t>2</w:t>
      </w:r>
      <w:r>
        <w:rPr>
          <w:rFonts w:hint="eastAsia" w:ascii="仿宋_GB2312" w:hAnsi="微软雅黑" w:eastAsia="仿宋_GB2312"/>
          <w:b/>
          <w:bCs/>
          <w:color w:val="333333"/>
          <w:sz w:val="32"/>
          <w:szCs w:val="32"/>
        </w:rPr>
        <w:t>、过程情况。</w:t>
      </w:r>
      <w:r>
        <w:rPr>
          <w:rFonts w:hint="eastAsia" w:ascii="仿宋_GB2312" w:hAnsi="微软雅黑" w:eastAsia="仿宋_GB2312"/>
          <w:color w:val="333333"/>
          <w:sz w:val="32"/>
          <w:szCs w:val="32"/>
        </w:rPr>
        <w:t>自评得分</w:t>
      </w:r>
      <w:r>
        <w:rPr>
          <w:rFonts w:eastAsia="微软雅黑"/>
          <w:color w:val="333333"/>
          <w:sz w:val="32"/>
          <w:szCs w:val="32"/>
        </w:rPr>
        <w:t>30</w:t>
      </w:r>
      <w:r>
        <w:rPr>
          <w:rFonts w:hint="eastAsia" w:ascii="仿宋_GB2312" w:hAnsi="微软雅黑" w:eastAsia="仿宋_GB2312"/>
          <w:color w:val="333333"/>
          <w:sz w:val="32"/>
          <w:szCs w:val="32"/>
        </w:rPr>
        <w:t>分。</w:t>
      </w:r>
      <w:r>
        <w:rPr>
          <w:rFonts w:hint="eastAsia" w:ascii="仿宋_GB2312" w:eastAsia="仿宋_GB2312"/>
          <w:sz w:val="32"/>
          <w:szCs w:val="32"/>
        </w:rPr>
        <w:t>2021年实现票房收入142.7万元、卖品收入17万元、放映场次2186场、观影人次3.4万人次。票房收入完成率达到118%，超额完成预定目标；卖品收入、放映场次、观影人次完成率各为85%、58%、89%，稍低于预期，卖品种类还需不断探索。今年在建党100年的大背景下，大量优秀的国产红色影片《悬崖之上》《长津湖》《跨过鸭绿江》等上映，以组织观影的方式播放共计63场，观影人次达到2504人，在各单位掀起了红色电影观影热潮，为党建工作增添“色彩”。组织观影不仅为影城增收添砖加瓦，也取得了较好的社会效益。</w:t>
      </w:r>
    </w:p>
    <w:p>
      <w:pPr>
        <w:spacing w:line="576" w:lineRule="exact"/>
        <w:ind w:firstLine="640" w:firstLineChars="200"/>
        <w:rPr>
          <w:rFonts w:eastAsia="仿宋_GB2312"/>
          <w:color w:val="000000"/>
          <w:sz w:val="32"/>
          <w:szCs w:val="32"/>
        </w:rPr>
      </w:pPr>
      <w:r>
        <w:rPr>
          <w:rFonts w:eastAsia="微软雅黑"/>
          <w:b/>
          <w:bCs/>
          <w:color w:val="333333"/>
          <w:sz w:val="32"/>
          <w:szCs w:val="32"/>
        </w:rPr>
        <w:t>3</w:t>
      </w:r>
      <w:r>
        <w:rPr>
          <w:rFonts w:hint="eastAsia" w:ascii="仿宋_GB2312" w:hAnsi="微软雅黑" w:eastAsia="仿宋_GB2312"/>
          <w:b/>
          <w:bCs/>
          <w:color w:val="333333"/>
          <w:sz w:val="32"/>
          <w:szCs w:val="32"/>
        </w:rPr>
        <w:t>、产出与效益情况。</w:t>
      </w:r>
      <w:r>
        <w:rPr>
          <w:rFonts w:hint="eastAsia" w:ascii="仿宋_GB2312" w:hAnsi="微软雅黑" w:eastAsia="仿宋_GB2312"/>
          <w:color w:val="333333"/>
          <w:sz w:val="32"/>
          <w:szCs w:val="32"/>
        </w:rPr>
        <w:t>自评得分</w:t>
      </w:r>
      <w:r>
        <w:rPr>
          <w:rFonts w:eastAsia="微软雅黑"/>
          <w:color w:val="333333"/>
          <w:sz w:val="32"/>
          <w:szCs w:val="32"/>
        </w:rPr>
        <w:t>3</w:t>
      </w:r>
      <w:r>
        <w:rPr>
          <w:rFonts w:hint="eastAsia" w:eastAsia="微软雅黑"/>
          <w:color w:val="333333"/>
          <w:sz w:val="32"/>
          <w:szCs w:val="32"/>
        </w:rPr>
        <w:t>8</w:t>
      </w:r>
      <w:r>
        <w:rPr>
          <w:rFonts w:hint="eastAsia" w:ascii="仿宋_GB2312" w:hAnsi="微软雅黑" w:eastAsia="仿宋_GB2312"/>
          <w:color w:val="333333"/>
          <w:sz w:val="32"/>
          <w:szCs w:val="32"/>
        </w:rPr>
        <w:t>分。</w:t>
      </w:r>
      <w:r>
        <w:rPr>
          <w:rFonts w:eastAsia="仿宋_GB2312"/>
          <w:color w:val="000000"/>
          <w:sz w:val="32"/>
          <w:szCs w:val="32"/>
        </w:rPr>
        <w:t>依托电影特殊的宣传教育功能，增进党史学习教育的多样性和实效性 ，中心配合州党史学习教育办开展了“学百年党史 看红色电影”活动，通过“电影 +党建”方式，吸引了众多观影群众重温经典，成为了众多单位“固定党日”的活动场所。目前，已累计开展党史学习教育和党建活动182场，组织放映《跨过鸭绿江》《长津湖》《中国医生》等主题影片，州县机关、企事业单位共38个单位（团体） 3961人次前来观影，创收15.1万元。收到了良好的社会效益和经济效益。</w:t>
      </w:r>
    </w:p>
    <w:p>
      <w:pPr>
        <w:numPr>
          <w:ilvl w:val="0"/>
          <w:numId w:val="6"/>
        </w:numPr>
        <w:tabs>
          <w:tab w:val="left" w:pos="530"/>
        </w:tabs>
        <w:outlineLvl w:val="1"/>
        <w:rPr>
          <w:rFonts w:ascii="黑体" w:eastAsia="黑体"/>
          <w:sz w:val="32"/>
          <w:szCs w:val="32"/>
        </w:rPr>
      </w:pPr>
      <w:bookmarkStart w:id="82" w:name="_Toc21158"/>
      <w:r>
        <w:rPr>
          <w:rFonts w:hint="eastAsia" w:ascii="黑体" w:eastAsia="黑体"/>
          <w:sz w:val="32"/>
          <w:szCs w:val="32"/>
        </w:rPr>
        <w:t>问题及建议</w:t>
      </w:r>
      <w:bookmarkEnd w:id="82"/>
    </w:p>
    <w:p>
      <w:pPr>
        <w:tabs>
          <w:tab w:val="left" w:pos="530"/>
        </w:tabs>
        <w:rPr>
          <w:rFonts w:ascii="仿宋_GB2312" w:eastAsia="仿宋_GB2312"/>
          <w:sz w:val="32"/>
          <w:szCs w:val="32"/>
        </w:rPr>
      </w:pPr>
      <w:r>
        <w:rPr>
          <w:rFonts w:hint="eastAsia" w:ascii="仿宋_GB2312" w:eastAsia="仿宋_GB2312"/>
          <w:sz w:val="32"/>
          <w:szCs w:val="32"/>
        </w:rPr>
        <w:t>（一）存在的问题</w:t>
      </w:r>
    </w:p>
    <w:p>
      <w:pPr>
        <w:tabs>
          <w:tab w:val="left" w:pos="530"/>
        </w:tabs>
        <w:rPr>
          <w:rFonts w:ascii="仿宋_GB2312" w:eastAsia="仿宋_GB2312"/>
          <w:sz w:val="32"/>
          <w:szCs w:val="32"/>
        </w:rPr>
      </w:pPr>
      <w:r>
        <w:rPr>
          <w:rFonts w:ascii="仿宋_GB2312" w:eastAsia="仿宋_GB2312"/>
          <w:sz w:val="32"/>
          <w:szCs w:val="32"/>
        </w:rPr>
        <w:tab/>
      </w:r>
      <w:r>
        <w:rPr>
          <w:rFonts w:hint="eastAsia" w:ascii="仿宋_GB2312" w:eastAsia="仿宋_GB2312"/>
          <w:color w:val="333333"/>
          <w:sz w:val="32"/>
          <w:szCs w:val="32"/>
          <w:shd w:val="clear" w:color="auto" w:fill="FFFFFF"/>
        </w:rPr>
        <w:t>项目实施过程的衔接不够紧凑，督促和推进项目落实的力度有待加强，项目实施管理水平还要提高。主要是项目实施进度抓得不够紧，监督管理不够严，有些资料的整理不齐全、上报不及时等，缺乏专业的技术人员，工作的业务量大，造成项目实施管理不到位，监督管理效率不高。</w:t>
      </w:r>
    </w:p>
    <w:p>
      <w:pPr>
        <w:rPr>
          <w:rFonts w:ascii="黑体" w:eastAsia="黑体"/>
          <w:b/>
          <w:sz w:val="32"/>
          <w:szCs w:val="32"/>
        </w:rPr>
      </w:pPr>
      <w:r>
        <w:rPr>
          <w:rFonts w:hint="eastAsia" w:ascii="黑体" w:eastAsia="黑体"/>
          <w:b/>
          <w:sz w:val="32"/>
          <w:szCs w:val="32"/>
        </w:rPr>
        <w:t>（二）相关建议</w:t>
      </w:r>
    </w:p>
    <w:p>
      <w:pPr>
        <w:ind w:firstLine="800" w:firstLineChars="250"/>
        <w:rPr>
          <w:rFonts w:ascii="仿宋_GB2312" w:eastAsia="仿宋_GB2312"/>
          <w:sz w:val="32"/>
          <w:szCs w:val="32"/>
        </w:rPr>
      </w:pPr>
      <w:r>
        <w:rPr>
          <w:rFonts w:hint="eastAsia" w:ascii="仿宋_GB2312" w:eastAsia="仿宋_GB2312"/>
          <w:color w:val="333333"/>
          <w:sz w:val="32"/>
          <w:szCs w:val="32"/>
          <w:shd w:val="clear" w:color="auto" w:fill="FFFFFF"/>
        </w:rPr>
        <w:t>在项目预算管理上，要牢牢把住前期工作审核关、项目实施质量关、竣工验收合规关，确保资金使用合法高效，用到实处。在绩效管理上，完善绩效评价机制，明确责任，加强监督，建立健全监督检查制度、定期对资金使用和项目情况进行检查。</w:t>
      </w:r>
    </w:p>
    <w:p>
      <w:pPr>
        <w:spacing w:line="572" w:lineRule="exact"/>
        <w:jc w:val="left"/>
        <w:outlineLvl w:val="9"/>
        <w:rPr>
          <w:rFonts w:ascii="黑体" w:eastAsia="黑体" w:cs="黑体"/>
          <w:sz w:val="32"/>
          <w:szCs w:val="32"/>
        </w:rPr>
      </w:pPr>
    </w:p>
    <w:p>
      <w:pPr>
        <w:spacing w:line="572" w:lineRule="exact"/>
        <w:jc w:val="left"/>
        <w:outlineLvl w:val="9"/>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jc w:val="center"/>
        <w:rPr>
          <w:rFonts w:ascii="仿宋_GB2312" w:eastAsia="仿宋_GB2312" w:cs="仿宋_GB2312"/>
          <w:sz w:val="32"/>
          <w:szCs w:val="32"/>
        </w:rPr>
      </w:pPr>
      <w:r>
        <w:rPr>
          <w:rFonts w:hint="eastAsia" w:ascii="宋体" w:cs="宋体"/>
          <w:b/>
          <w:sz w:val="32"/>
          <w:szCs w:val="32"/>
        </w:rPr>
        <w:t>影 城 运 行 费</w:t>
      </w:r>
    </w:p>
    <w:tbl>
      <w:tblPr>
        <w:tblStyle w:val="14"/>
        <w:tblpPr w:leftFromText="180" w:rightFromText="180" w:vertAnchor="text" w:horzAnchor="page" w:tblpX="1281" w:tblpY="660"/>
        <w:tblOverlap w:val="never"/>
        <w:tblW w:w="9575" w:type="dxa"/>
        <w:tblInd w:w="0" w:type="dxa"/>
        <w:tblLayout w:type="fixed"/>
        <w:tblCellMar>
          <w:top w:w="0" w:type="dxa"/>
          <w:left w:w="108" w:type="dxa"/>
          <w:bottom w:w="0" w:type="dxa"/>
          <w:right w:w="108" w:type="dxa"/>
        </w:tblCellMar>
      </w:tblPr>
      <w:tblGrid>
        <w:gridCol w:w="1976"/>
        <w:gridCol w:w="1142"/>
        <w:gridCol w:w="1635"/>
        <w:gridCol w:w="1189"/>
        <w:gridCol w:w="1224"/>
        <w:gridCol w:w="2409"/>
      </w:tblGrid>
      <w:tr>
        <w:tblPrEx>
          <w:tblCellMar>
            <w:top w:w="0" w:type="dxa"/>
            <w:left w:w="108" w:type="dxa"/>
            <w:bottom w:w="0" w:type="dxa"/>
            <w:right w:w="108" w:type="dxa"/>
          </w:tblCellMar>
        </w:tblPrEx>
        <w:trPr>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sz w:val="24"/>
                <w:szCs w:val="24"/>
              </w:rPr>
            </w:pPr>
            <w:bookmarkStart w:id="83" w:name="_Toc15396618"/>
            <w:r>
              <w:rPr>
                <w:rFonts w:hint="eastAsia" w:ascii="宋体" w:hAnsi="宋体" w:eastAsia="宋体" w:cs="宋体"/>
                <w:kern w:val="0"/>
                <w:sz w:val="24"/>
                <w:szCs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eastAsia" w:ascii="宋体" w:hAnsi="宋体" w:eastAsia="宋体" w:cs="宋体"/>
                <w:sz w:val="24"/>
                <w:szCs w:val="24"/>
              </w:rPr>
            </w:pPr>
            <w:r>
              <w:rPr>
                <w:rFonts w:hint="eastAsia" w:ascii="宋体" w:hAnsi="宋体" w:eastAsia="宋体" w:cs="宋体"/>
                <w:sz w:val="24"/>
                <w:szCs w:val="24"/>
              </w:rPr>
              <w:t>201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项目预算</w:t>
            </w:r>
            <w:r>
              <w:rPr>
                <w:rFonts w:hint="eastAsia" w:ascii="宋体" w:hAnsi="宋体" w:eastAsia="宋体" w:cs="宋体"/>
                <w:kern w:val="0"/>
                <w:sz w:val="24"/>
                <w:szCs w:val="24"/>
              </w:rPr>
              <w:br w:type="textWrapping"/>
            </w:r>
            <w:r>
              <w:rPr>
                <w:rFonts w:hint="eastAsia" w:ascii="宋体" w:hAnsi="宋体" w:eastAsia="宋体" w:cs="宋体"/>
                <w:kern w:val="0"/>
                <w:sz w:val="24"/>
                <w:szCs w:val="24"/>
              </w:rPr>
              <w:t>执行情况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eastAsia" w:ascii="宋体" w:hAnsi="宋体" w:eastAsia="宋体" w:cs="宋体"/>
                <w:sz w:val="24"/>
                <w:szCs w:val="24"/>
              </w:rPr>
            </w:pPr>
            <w:r>
              <w:rPr>
                <w:rFonts w:hint="eastAsia" w:ascii="宋体" w:hAnsi="宋体" w:eastAsia="宋体" w:cs="宋体"/>
                <w:kern w:val="0"/>
                <w:sz w:val="24"/>
                <w:szCs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eastAsia" w:ascii="宋体" w:hAnsi="宋体" w:eastAsia="宋体" w:cs="宋体"/>
                <w:sz w:val="24"/>
                <w:szCs w:val="24"/>
              </w:rPr>
            </w:pPr>
            <w:r>
              <w:rPr>
                <w:rFonts w:hint="eastAsia" w:ascii="宋体" w:hAnsi="宋体" w:eastAsia="宋体" w:cs="宋体"/>
                <w:sz w:val="24"/>
                <w:szCs w:val="24"/>
              </w:rPr>
              <w:t>44.02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eastAsia" w:ascii="宋体" w:hAnsi="宋体" w:eastAsia="宋体" w:cs="宋体"/>
                <w:sz w:val="24"/>
                <w:szCs w:val="24"/>
              </w:rPr>
            </w:pPr>
            <w:r>
              <w:rPr>
                <w:rFonts w:hint="eastAsia" w:ascii="宋体" w:hAnsi="宋体" w:eastAsia="宋体" w:cs="宋体"/>
                <w:kern w:val="0"/>
                <w:sz w:val="24"/>
                <w:szCs w:val="24"/>
              </w:rPr>
              <w:t xml:space="preserve"> 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sz w:val="24"/>
                <w:szCs w:val="24"/>
              </w:rPr>
              <w:t>44.02</w:t>
            </w:r>
          </w:p>
        </w:tc>
      </w:tr>
      <w:tr>
        <w:tblPrEx>
          <w:tblCellMar>
            <w:top w:w="0" w:type="dxa"/>
            <w:left w:w="108" w:type="dxa"/>
            <w:bottom w:w="0" w:type="dxa"/>
            <w:right w:w="108" w:type="dxa"/>
          </w:tblCellMar>
        </w:tblPrEx>
        <w:trPr>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sz w:val="24"/>
                <w:szCs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rPr>
              <w:t>其中：</w:t>
            </w:r>
          </w:p>
          <w:p>
            <w:pPr>
              <w:widowControl/>
              <w:spacing w:line="320" w:lineRule="exact"/>
              <w:jc w:val="left"/>
              <w:textAlignment w:val="center"/>
              <w:rPr>
                <w:rFonts w:hint="eastAsia" w:ascii="宋体" w:hAnsi="宋体" w:eastAsia="宋体" w:cs="宋体"/>
                <w:sz w:val="24"/>
                <w:szCs w:val="24"/>
              </w:rPr>
            </w:pPr>
            <w:r>
              <w:rPr>
                <w:rFonts w:hint="eastAsia" w:ascii="宋体" w:hAnsi="宋体" w:eastAsia="宋体" w:cs="宋体"/>
                <w:kern w:val="0"/>
                <w:sz w:val="24"/>
                <w:szCs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eastAsia" w:ascii="宋体" w:hAnsi="宋体" w:eastAsia="宋体" w:cs="宋体"/>
                <w:sz w:val="24"/>
                <w:szCs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rPr>
              <w:t>其中：</w:t>
            </w:r>
          </w:p>
          <w:p>
            <w:pPr>
              <w:widowControl/>
              <w:spacing w:line="320" w:lineRule="exact"/>
              <w:jc w:val="left"/>
              <w:textAlignment w:val="center"/>
              <w:rPr>
                <w:rFonts w:hint="eastAsia" w:ascii="宋体" w:hAnsi="宋体" w:eastAsia="宋体" w:cs="宋体"/>
                <w:sz w:val="24"/>
                <w:szCs w:val="24"/>
              </w:rPr>
            </w:pPr>
            <w:r>
              <w:rPr>
                <w:rFonts w:hint="eastAsia" w:ascii="宋体" w:hAnsi="宋体" w:eastAsia="宋体" w:cs="宋体"/>
                <w:kern w:val="0"/>
                <w:sz w:val="24"/>
                <w:szCs w:val="24"/>
              </w:rPr>
              <w:t>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sz w:val="24"/>
                <w:szCs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eastAsia" w:ascii="宋体" w:hAnsi="宋体" w:eastAsia="宋体" w:cs="宋体"/>
                <w:sz w:val="24"/>
                <w:szCs w:val="24"/>
              </w:rPr>
            </w:pPr>
            <w:r>
              <w:rPr>
                <w:rFonts w:hint="eastAsia" w:ascii="宋体" w:hAnsi="宋体" w:eastAsia="宋体" w:cs="宋体"/>
                <w:kern w:val="0"/>
                <w:sz w:val="24"/>
                <w:szCs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eastAsia" w:ascii="宋体" w:hAnsi="宋体" w:eastAsia="宋体" w:cs="宋体"/>
                <w:sz w:val="24"/>
                <w:szCs w:val="24"/>
              </w:rPr>
            </w:pPr>
            <w:r>
              <w:rPr>
                <w:rFonts w:hint="eastAsia" w:ascii="宋体" w:hAnsi="宋体" w:eastAsia="宋体" w:cs="宋体"/>
                <w:sz w:val="24"/>
                <w:szCs w:val="24"/>
              </w:rPr>
              <w:t>44.02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eastAsia" w:ascii="宋体" w:hAnsi="宋体" w:eastAsia="宋体" w:cs="宋体"/>
                <w:sz w:val="24"/>
                <w:szCs w:val="24"/>
              </w:rPr>
            </w:pPr>
            <w:r>
              <w:rPr>
                <w:rFonts w:hint="eastAsia" w:ascii="宋体" w:hAnsi="宋体" w:eastAsia="宋体" w:cs="宋体"/>
                <w:kern w:val="0"/>
                <w:sz w:val="24"/>
                <w:szCs w:val="24"/>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sz w:val="24"/>
                <w:szCs w:val="24"/>
              </w:rPr>
              <w:t>44.02</w:t>
            </w:r>
          </w:p>
        </w:tc>
      </w:tr>
      <w:tr>
        <w:tblPrEx>
          <w:tblCellMar>
            <w:top w:w="0" w:type="dxa"/>
            <w:left w:w="108" w:type="dxa"/>
            <w:bottom w:w="0" w:type="dxa"/>
            <w:right w:w="108" w:type="dxa"/>
          </w:tblCellMar>
        </w:tblPrEx>
        <w:trPr>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年度总体目标</w:t>
            </w:r>
          </w:p>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目标实际完成情况</w:t>
            </w:r>
          </w:p>
        </w:tc>
      </w:tr>
      <w:tr>
        <w:tblPrEx>
          <w:tblCellMar>
            <w:top w:w="0" w:type="dxa"/>
            <w:left w:w="108" w:type="dxa"/>
            <w:bottom w:w="0" w:type="dxa"/>
            <w:right w:w="108" w:type="dxa"/>
          </w:tblCellMar>
        </w:tblPrEx>
        <w:trPr>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sz w:val="24"/>
                <w:szCs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eastAsia" w:ascii="宋体" w:hAnsi="宋体" w:eastAsia="宋体" w:cs="宋体"/>
                <w:sz w:val="24"/>
                <w:szCs w:val="24"/>
              </w:rPr>
            </w:pPr>
            <w:r>
              <w:rPr>
                <w:rFonts w:hint="eastAsia" w:ascii="宋体" w:hAnsi="宋体" w:eastAsia="宋体" w:cs="宋体"/>
                <w:sz w:val="24"/>
                <w:szCs w:val="24"/>
              </w:rPr>
              <w:t>电影票房收入110万元</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eastAsia" w:ascii="宋体" w:hAnsi="宋体" w:eastAsia="宋体" w:cs="宋体"/>
                <w:sz w:val="24"/>
                <w:szCs w:val="24"/>
              </w:rPr>
            </w:pPr>
            <w:r>
              <w:rPr>
                <w:rFonts w:hint="eastAsia" w:ascii="宋体" w:hAnsi="宋体" w:eastAsia="宋体" w:cs="宋体"/>
                <w:bCs/>
                <w:color w:val="000000" w:themeColor="text1"/>
                <w:sz w:val="24"/>
                <w:szCs w:val="24"/>
              </w:rPr>
              <w:t>票房142.72万元</w:t>
            </w:r>
          </w:p>
        </w:tc>
      </w:tr>
      <w:tr>
        <w:tblPrEx>
          <w:tblCellMar>
            <w:top w:w="0" w:type="dxa"/>
            <w:left w:w="108" w:type="dxa"/>
            <w:bottom w:w="0" w:type="dxa"/>
            <w:right w:w="108" w:type="dxa"/>
          </w:tblCellMar>
        </w:tblPrEx>
        <w:trPr>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一级</w:t>
            </w:r>
          </w:p>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二级</w:t>
            </w:r>
          </w:p>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三级</w:t>
            </w:r>
          </w:p>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实际完成指标值</w:t>
            </w:r>
          </w:p>
        </w:tc>
      </w:tr>
      <w:tr>
        <w:tblPrEx>
          <w:tblCellMar>
            <w:top w:w="0" w:type="dxa"/>
            <w:left w:w="108" w:type="dxa"/>
            <w:bottom w:w="0" w:type="dxa"/>
            <w:right w:w="108" w:type="dxa"/>
          </w:tblCellMar>
        </w:tblPrEx>
        <w:trPr>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sz w:val="24"/>
                <w:szCs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4"/>
                <w:szCs w:val="24"/>
              </w:rPr>
            </w:pPr>
            <w:r>
              <w:rPr>
                <w:rFonts w:hint="eastAsia" w:ascii="宋体" w:hAnsi="宋体" w:eastAsia="宋体" w:cs="宋体"/>
                <w:kern w:val="0"/>
                <w:sz w:val="24"/>
                <w:szCs w:val="24"/>
              </w:rPr>
              <w:t>完成</w:t>
            </w:r>
          </w:p>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影城收入</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票房120万元</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bCs/>
                <w:color w:val="000000" w:themeColor="text1"/>
                <w:sz w:val="24"/>
                <w:szCs w:val="24"/>
              </w:rPr>
              <w:t>票房142.72万</w:t>
            </w:r>
          </w:p>
        </w:tc>
      </w:tr>
      <w:tr>
        <w:tblPrEx>
          <w:tblCellMar>
            <w:top w:w="0" w:type="dxa"/>
            <w:left w:w="108" w:type="dxa"/>
            <w:bottom w:w="0" w:type="dxa"/>
            <w:right w:w="108" w:type="dxa"/>
          </w:tblCellMar>
        </w:tblPrEx>
        <w:trPr>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sz w:val="24"/>
                <w:szCs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sz w:val="24"/>
                <w:szCs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放映指标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放映事故控制在5%</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放映事故控制在5%</w:t>
            </w:r>
          </w:p>
        </w:tc>
      </w:tr>
      <w:tr>
        <w:tblPrEx>
          <w:tblCellMar>
            <w:top w:w="0" w:type="dxa"/>
            <w:left w:w="108" w:type="dxa"/>
            <w:bottom w:w="0" w:type="dxa"/>
            <w:right w:w="108" w:type="dxa"/>
          </w:tblCellMar>
        </w:tblPrEx>
        <w:trPr>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sz w:val="24"/>
                <w:szCs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sz w:val="24"/>
                <w:szCs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电影票房收入110万元</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12月31日前完成</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bCs/>
                <w:color w:val="000000" w:themeColor="text1"/>
                <w:sz w:val="24"/>
                <w:szCs w:val="24"/>
              </w:rPr>
              <w:t>票房142.72万元</w:t>
            </w:r>
          </w:p>
        </w:tc>
      </w:tr>
      <w:tr>
        <w:tblPrEx>
          <w:tblCellMar>
            <w:top w:w="0" w:type="dxa"/>
            <w:left w:w="108" w:type="dxa"/>
            <w:bottom w:w="0" w:type="dxa"/>
            <w:right w:w="108" w:type="dxa"/>
          </w:tblCellMar>
        </w:tblPrEx>
        <w:trPr>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sz w:val="24"/>
                <w:szCs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sz w:val="24"/>
                <w:szCs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人力、物力、时间</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成本控制</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运行费44.02万元</w:t>
            </w:r>
          </w:p>
        </w:tc>
      </w:tr>
      <w:tr>
        <w:tblPrEx>
          <w:tblCellMar>
            <w:top w:w="0" w:type="dxa"/>
            <w:left w:w="108" w:type="dxa"/>
            <w:bottom w:w="0" w:type="dxa"/>
            <w:right w:w="108" w:type="dxa"/>
          </w:tblCellMar>
        </w:tblPrEx>
        <w:trPr>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sz w:val="24"/>
                <w:szCs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效益</w:t>
            </w:r>
            <w:r>
              <w:rPr>
                <w:rFonts w:hint="eastAsia" w:ascii="宋体" w:hAnsi="宋体" w:eastAsia="宋体" w:cs="宋体"/>
                <w:kern w:val="0"/>
                <w:sz w:val="24"/>
                <w:szCs w:val="24"/>
              </w:rPr>
              <w:br w:type="textWrapping"/>
            </w:r>
            <w:r>
              <w:rPr>
                <w:rFonts w:hint="eastAsia" w:ascii="宋体" w:hAnsi="宋体" w:eastAsia="宋体" w:cs="宋体"/>
                <w:kern w:val="0"/>
                <w:sz w:val="24"/>
                <w:szCs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国产片票房收入占比</w:t>
            </w:r>
          </w:p>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≥50%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国产片票房收入占比</w:t>
            </w:r>
          </w:p>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≥50%</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国产片票房收入占比</w:t>
            </w:r>
          </w:p>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≥50%</w:t>
            </w:r>
          </w:p>
        </w:tc>
      </w:tr>
      <w:tr>
        <w:tblPrEx>
          <w:tblCellMar>
            <w:top w:w="0" w:type="dxa"/>
            <w:left w:w="108" w:type="dxa"/>
            <w:bottom w:w="0" w:type="dxa"/>
            <w:right w:w="108" w:type="dxa"/>
          </w:tblCellMar>
        </w:tblPrEx>
        <w:trPr>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sz w:val="24"/>
                <w:szCs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sz w:val="24"/>
                <w:szCs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社会效益  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放映优秀红色题材影片≥5%</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放映优秀红色题材影片≥5%</w:t>
            </w:r>
          </w:p>
        </w:tc>
      </w:tr>
      <w:tr>
        <w:tblPrEx>
          <w:tblCellMar>
            <w:top w:w="0" w:type="dxa"/>
            <w:left w:w="108" w:type="dxa"/>
            <w:bottom w:w="0" w:type="dxa"/>
            <w:right w:w="108" w:type="dxa"/>
          </w:tblCellMar>
        </w:tblPrEx>
        <w:trPr>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sz w:val="24"/>
                <w:szCs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sz w:val="24"/>
                <w:szCs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23" w:leftChars="87" w:hanging="240" w:hangingChars="100"/>
              <w:jc w:val="left"/>
              <w:textAlignment w:val="bottom"/>
              <w:rPr>
                <w:rFonts w:hint="eastAsia" w:ascii="宋体" w:hAnsi="宋体" w:eastAsia="宋体" w:cs="宋体"/>
                <w:sz w:val="24"/>
                <w:szCs w:val="24"/>
              </w:rPr>
            </w:pPr>
            <w:r>
              <w:rPr>
                <w:rFonts w:hint="eastAsia" w:ascii="宋体" w:hAnsi="宋体" w:eastAsia="宋体" w:cs="宋体"/>
                <w:kern w:val="0"/>
                <w:sz w:val="24"/>
                <w:szCs w:val="24"/>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保护影城环境</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降低影城环境破坏</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达到预期目标</w:t>
            </w:r>
          </w:p>
        </w:tc>
      </w:tr>
      <w:tr>
        <w:tblPrEx>
          <w:tblCellMar>
            <w:top w:w="0" w:type="dxa"/>
            <w:left w:w="108" w:type="dxa"/>
            <w:bottom w:w="0" w:type="dxa"/>
            <w:right w:w="108" w:type="dxa"/>
          </w:tblCellMar>
        </w:tblPrEx>
        <w:trPr>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sz w:val="24"/>
                <w:szCs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sz w:val="24"/>
                <w:szCs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hint="eastAsia" w:ascii="宋体" w:hAnsi="宋体" w:eastAsia="宋体" w:cs="宋体"/>
                <w:sz w:val="24"/>
                <w:szCs w:val="24"/>
              </w:rPr>
            </w:pPr>
            <w:r>
              <w:rPr>
                <w:rFonts w:hint="eastAsia" w:ascii="宋体" w:hAnsi="宋体" w:eastAsia="宋体" w:cs="宋体"/>
                <w:sz w:val="24"/>
                <w:szCs w:val="24"/>
              </w:rPr>
              <w:t>优秀影片放映</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hint="eastAsia" w:ascii="宋体" w:hAnsi="宋体" w:eastAsia="宋体" w:cs="宋体"/>
                <w:sz w:val="24"/>
                <w:szCs w:val="24"/>
              </w:rPr>
            </w:pPr>
            <w:r>
              <w:rPr>
                <w:rFonts w:hint="eastAsia" w:ascii="宋体" w:hAnsi="宋体" w:eastAsia="宋体" w:cs="宋体"/>
                <w:sz w:val="24"/>
                <w:szCs w:val="24"/>
              </w:rPr>
              <w:t>优秀影片放映</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hint="eastAsia" w:ascii="宋体" w:hAnsi="宋体" w:eastAsia="宋体" w:cs="宋体"/>
                <w:sz w:val="24"/>
                <w:szCs w:val="24"/>
              </w:rPr>
            </w:pPr>
            <w:r>
              <w:rPr>
                <w:rFonts w:hint="eastAsia" w:ascii="宋体" w:hAnsi="宋体" w:eastAsia="宋体" w:cs="宋体"/>
                <w:sz w:val="24"/>
                <w:szCs w:val="24"/>
              </w:rPr>
              <w:t>积极推动影院的健康发展，激活带动影片高质量、高速发展。</w:t>
            </w:r>
          </w:p>
        </w:tc>
      </w:tr>
      <w:tr>
        <w:tblPrEx>
          <w:tblCellMar>
            <w:top w:w="0" w:type="dxa"/>
            <w:left w:w="108" w:type="dxa"/>
            <w:bottom w:w="0" w:type="dxa"/>
            <w:right w:w="108" w:type="dxa"/>
          </w:tblCellMar>
        </w:tblPrEx>
        <w:trPr>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sz w:val="24"/>
                <w:szCs w:val="24"/>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满意</w:t>
            </w:r>
            <w:r>
              <w:rPr>
                <w:rFonts w:hint="eastAsia" w:ascii="宋体" w:hAnsi="宋体" w:eastAsia="宋体" w:cs="宋体"/>
                <w:kern w:val="0"/>
                <w:sz w:val="24"/>
                <w:szCs w:val="24"/>
              </w:rPr>
              <w:br w:type="textWrapping"/>
            </w:r>
            <w:r>
              <w:rPr>
                <w:rFonts w:hint="eastAsia" w:ascii="宋体" w:hAnsi="宋体" w:eastAsia="宋体" w:cs="宋体"/>
                <w:kern w:val="0"/>
                <w:sz w:val="24"/>
                <w:szCs w:val="24"/>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kern w:val="0"/>
                <w:sz w:val="24"/>
                <w:szCs w:val="24"/>
              </w:rPr>
            </w:pPr>
            <w:r>
              <w:rPr>
                <w:rFonts w:hint="eastAsia" w:ascii="宋体" w:hAnsi="宋体" w:eastAsia="宋体" w:cs="宋体"/>
                <w:kern w:val="0"/>
                <w:sz w:val="24"/>
                <w:szCs w:val="24"/>
              </w:rPr>
              <w:t>满意度</w:t>
            </w:r>
          </w:p>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kern w:val="0"/>
                <w:sz w:val="24"/>
                <w:szCs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观众对影院满意度≥81%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观众对影院满意度≥81%</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sz w:val="24"/>
                <w:szCs w:val="24"/>
              </w:rPr>
            </w:pPr>
            <w:r>
              <w:rPr>
                <w:rFonts w:hint="eastAsia" w:ascii="宋体" w:hAnsi="宋体" w:eastAsia="宋体" w:cs="宋体"/>
                <w:sz w:val="24"/>
                <w:szCs w:val="24"/>
              </w:rPr>
              <w:t>观众对影院满意度≥81%</w:t>
            </w:r>
          </w:p>
        </w:tc>
      </w:tr>
    </w:tbl>
    <w:p>
      <w:pPr>
        <w:spacing w:line="600" w:lineRule="exact"/>
        <w:jc w:val="center"/>
        <w:outlineLvl w:val="9"/>
        <w:rPr>
          <w:rFonts w:hint="eastAsia" w:ascii="宋体" w:hAnsi="宋体" w:eastAsia="宋体" w:cs="宋体"/>
          <w:sz w:val="24"/>
          <w:szCs w:val="24"/>
        </w:rPr>
      </w:pPr>
    </w:p>
    <w:p>
      <w:pPr>
        <w:spacing w:line="600" w:lineRule="exact"/>
        <w:jc w:val="center"/>
        <w:outlineLvl w:val="9"/>
        <w:rPr>
          <w:rFonts w:hint="eastAsia" w:ascii="宋体" w:hAnsi="宋体" w:eastAsia="宋体" w:cs="宋体"/>
          <w:sz w:val="24"/>
          <w:szCs w:val="24"/>
        </w:rPr>
      </w:pPr>
    </w:p>
    <w:p>
      <w:pPr>
        <w:spacing w:line="600" w:lineRule="exact"/>
        <w:jc w:val="center"/>
        <w:outlineLvl w:val="9"/>
        <w:rPr>
          <w:rFonts w:ascii="黑体" w:eastAsia="黑体"/>
          <w:sz w:val="44"/>
          <w:szCs w:val="44"/>
        </w:rPr>
      </w:pPr>
    </w:p>
    <w:p>
      <w:pPr>
        <w:spacing w:line="600" w:lineRule="exact"/>
        <w:jc w:val="center"/>
        <w:outlineLvl w:val="0"/>
        <w:rPr>
          <w:rFonts w:ascii="仿宋" w:eastAsia="仿宋"/>
        </w:rPr>
      </w:pPr>
      <w:bookmarkStart w:id="84" w:name="_Toc22812"/>
      <w:r>
        <w:rPr>
          <w:rFonts w:hint="eastAsia" w:ascii="黑体" w:eastAsia="黑体"/>
          <w:sz w:val="44"/>
          <w:szCs w:val="44"/>
        </w:rPr>
        <w:t>第</w:t>
      </w:r>
      <w:r>
        <w:rPr>
          <w:rStyle w:val="18"/>
          <w:rFonts w:hint="eastAsia" w:ascii="黑体" w:eastAsia="黑体"/>
          <w:b w:val="0"/>
        </w:rPr>
        <w:t>五部分 附表</w:t>
      </w:r>
      <w:bookmarkEnd w:id="77"/>
      <w:bookmarkEnd w:id="83"/>
      <w:bookmarkEnd w:id="84"/>
      <w:bookmarkStart w:id="85" w:name="_Toc15396619"/>
    </w:p>
    <w:p>
      <w:pPr>
        <w:pStyle w:val="4"/>
        <w:rPr>
          <w:rFonts w:ascii="仿宋" w:eastAsia="仿宋"/>
        </w:rPr>
      </w:pPr>
      <w:bookmarkStart w:id="86" w:name="_Toc6494"/>
      <w:r>
        <w:rPr>
          <w:rFonts w:hint="eastAsia" w:ascii="仿宋" w:eastAsia="仿宋"/>
          <w:b w:val="0"/>
        </w:rPr>
        <w:t>一、收</w:t>
      </w:r>
      <w:r>
        <w:rPr>
          <w:rStyle w:val="19"/>
          <w:rFonts w:hint="eastAsia" w:ascii="仿宋" w:eastAsia="仿宋"/>
          <w:b w:val="0"/>
          <w:bCs w:val="0"/>
        </w:rPr>
        <w:t>入支出决算总表</w:t>
      </w:r>
      <w:bookmarkEnd w:id="85"/>
      <w:bookmarkEnd w:id="86"/>
    </w:p>
    <w:p>
      <w:pPr>
        <w:pStyle w:val="4"/>
        <w:rPr>
          <w:rFonts w:ascii="仿宋" w:eastAsia="仿宋"/>
        </w:rPr>
      </w:pPr>
      <w:bookmarkStart w:id="87" w:name="_Toc15396620"/>
      <w:bookmarkStart w:id="88" w:name="_Toc9369"/>
      <w:r>
        <w:rPr>
          <w:rFonts w:hint="eastAsia" w:ascii="仿宋" w:eastAsia="仿宋"/>
          <w:b w:val="0"/>
        </w:rPr>
        <w:t>二、收</w:t>
      </w:r>
      <w:r>
        <w:rPr>
          <w:rStyle w:val="19"/>
          <w:rFonts w:hint="eastAsia" w:ascii="仿宋" w:eastAsia="仿宋"/>
          <w:b w:val="0"/>
          <w:bCs w:val="0"/>
        </w:rPr>
        <w:t>入决算表</w:t>
      </w:r>
      <w:bookmarkEnd w:id="87"/>
      <w:bookmarkEnd w:id="88"/>
    </w:p>
    <w:p>
      <w:pPr>
        <w:pStyle w:val="4"/>
        <w:rPr>
          <w:rFonts w:ascii="仿宋" w:eastAsia="仿宋"/>
        </w:rPr>
      </w:pPr>
      <w:bookmarkStart w:id="89" w:name="_Toc15396621"/>
      <w:bookmarkStart w:id="90" w:name="_Toc2581"/>
      <w:r>
        <w:rPr>
          <w:rStyle w:val="19"/>
          <w:rFonts w:hint="eastAsia" w:ascii="仿宋" w:eastAsia="仿宋"/>
          <w:b w:val="0"/>
          <w:bCs w:val="0"/>
        </w:rPr>
        <w:t>三、</w:t>
      </w:r>
      <w:r>
        <w:rPr>
          <w:rFonts w:hint="eastAsia" w:ascii="仿宋" w:eastAsia="仿宋"/>
          <w:b w:val="0"/>
        </w:rPr>
        <w:t>支</w:t>
      </w:r>
      <w:r>
        <w:rPr>
          <w:rStyle w:val="19"/>
          <w:rFonts w:hint="eastAsia" w:ascii="仿宋" w:eastAsia="仿宋"/>
          <w:b w:val="0"/>
          <w:bCs w:val="0"/>
        </w:rPr>
        <w:t>出决算表</w:t>
      </w:r>
      <w:bookmarkEnd w:id="89"/>
      <w:bookmarkEnd w:id="90"/>
    </w:p>
    <w:p>
      <w:pPr>
        <w:pStyle w:val="4"/>
        <w:rPr>
          <w:rFonts w:ascii="仿宋" w:eastAsia="仿宋"/>
          <w:b w:val="0"/>
        </w:rPr>
      </w:pPr>
      <w:bookmarkStart w:id="91" w:name="_Toc15396622"/>
      <w:bookmarkStart w:id="92" w:name="_Toc17033"/>
      <w:r>
        <w:rPr>
          <w:rStyle w:val="19"/>
          <w:rFonts w:hint="eastAsia" w:ascii="仿宋" w:eastAsia="仿宋"/>
          <w:b w:val="0"/>
          <w:bCs w:val="0"/>
        </w:rPr>
        <w:t>四、</w:t>
      </w:r>
      <w:r>
        <w:rPr>
          <w:rFonts w:hint="eastAsia" w:ascii="仿宋" w:eastAsia="仿宋"/>
          <w:b w:val="0"/>
        </w:rPr>
        <w:t>财</w:t>
      </w:r>
      <w:r>
        <w:rPr>
          <w:rStyle w:val="19"/>
          <w:rFonts w:hint="eastAsia" w:ascii="仿宋" w:eastAsia="仿宋"/>
          <w:b w:val="0"/>
          <w:bCs w:val="0"/>
        </w:rPr>
        <w:t>政拨款收入支出决算总表</w:t>
      </w:r>
      <w:bookmarkEnd w:id="91"/>
      <w:bookmarkEnd w:id="92"/>
    </w:p>
    <w:p>
      <w:pPr>
        <w:pStyle w:val="4"/>
        <w:rPr>
          <w:rStyle w:val="19"/>
          <w:rFonts w:ascii="仿宋" w:eastAsia="仿宋"/>
          <w:b w:val="0"/>
          <w:bCs w:val="0"/>
        </w:rPr>
      </w:pPr>
      <w:bookmarkStart w:id="93" w:name="_Toc15396623"/>
      <w:bookmarkStart w:id="94" w:name="_Toc8993"/>
      <w:r>
        <w:rPr>
          <w:rStyle w:val="19"/>
          <w:rFonts w:hint="eastAsia" w:ascii="仿宋" w:eastAsia="仿宋"/>
          <w:b w:val="0"/>
          <w:bCs w:val="0"/>
        </w:rPr>
        <w:t>五、</w:t>
      </w:r>
      <w:r>
        <w:rPr>
          <w:rFonts w:hint="eastAsia" w:ascii="仿宋" w:eastAsia="仿宋"/>
          <w:b w:val="0"/>
        </w:rPr>
        <w:t>财</w:t>
      </w:r>
      <w:r>
        <w:rPr>
          <w:rStyle w:val="19"/>
          <w:rFonts w:hint="eastAsia" w:ascii="仿宋" w:eastAsia="仿宋"/>
          <w:b w:val="0"/>
          <w:bCs w:val="0"/>
        </w:rPr>
        <w:t>政拨款支出决算明细表</w:t>
      </w:r>
      <w:bookmarkEnd w:id="93"/>
      <w:bookmarkEnd w:id="94"/>
      <w:bookmarkStart w:id="95" w:name="_Toc15396624"/>
    </w:p>
    <w:p>
      <w:pPr>
        <w:pStyle w:val="4"/>
        <w:rPr>
          <w:rFonts w:ascii="仿宋" w:eastAsia="仿宋"/>
        </w:rPr>
      </w:pPr>
      <w:bookmarkStart w:id="96" w:name="_Toc21871"/>
      <w:r>
        <w:rPr>
          <w:rStyle w:val="19"/>
          <w:rFonts w:hint="eastAsia" w:ascii="仿宋" w:eastAsia="仿宋"/>
          <w:b w:val="0"/>
          <w:bCs w:val="0"/>
        </w:rPr>
        <w:t>六、</w:t>
      </w:r>
      <w:r>
        <w:rPr>
          <w:rFonts w:hint="eastAsia" w:ascii="仿宋" w:eastAsia="仿宋"/>
          <w:b w:val="0"/>
        </w:rPr>
        <w:t>一</w:t>
      </w:r>
      <w:r>
        <w:rPr>
          <w:rStyle w:val="19"/>
          <w:rFonts w:hint="eastAsia" w:ascii="仿宋" w:eastAsia="仿宋"/>
          <w:b w:val="0"/>
          <w:bCs w:val="0"/>
        </w:rPr>
        <w:t>般公共预算财政拨款支出决算表</w:t>
      </w:r>
      <w:bookmarkEnd w:id="95"/>
      <w:bookmarkEnd w:id="96"/>
    </w:p>
    <w:p>
      <w:pPr>
        <w:pStyle w:val="4"/>
        <w:rPr>
          <w:rFonts w:ascii="仿宋" w:eastAsia="仿宋"/>
        </w:rPr>
      </w:pPr>
      <w:bookmarkStart w:id="97" w:name="_Toc15396625"/>
      <w:bookmarkStart w:id="98" w:name="_Toc11382"/>
      <w:r>
        <w:rPr>
          <w:rStyle w:val="19"/>
          <w:rFonts w:hint="eastAsia" w:ascii="仿宋" w:eastAsia="仿宋"/>
          <w:b w:val="0"/>
          <w:bCs w:val="0"/>
        </w:rPr>
        <w:t>七、</w:t>
      </w:r>
      <w:r>
        <w:rPr>
          <w:rFonts w:hint="eastAsia" w:ascii="仿宋" w:eastAsia="仿宋"/>
          <w:b w:val="0"/>
        </w:rPr>
        <w:t>一</w:t>
      </w:r>
      <w:r>
        <w:rPr>
          <w:rStyle w:val="19"/>
          <w:rFonts w:hint="eastAsia" w:ascii="仿宋" w:eastAsia="仿宋"/>
          <w:b w:val="0"/>
          <w:bCs w:val="0"/>
        </w:rPr>
        <w:t>般公共预算财政拨款支出决算明细表</w:t>
      </w:r>
      <w:bookmarkEnd w:id="97"/>
      <w:bookmarkEnd w:id="98"/>
    </w:p>
    <w:p>
      <w:pPr>
        <w:pStyle w:val="4"/>
        <w:rPr>
          <w:rFonts w:ascii="仿宋" w:eastAsia="仿宋"/>
        </w:rPr>
      </w:pPr>
      <w:bookmarkStart w:id="99" w:name="_Toc15396626"/>
      <w:bookmarkStart w:id="100" w:name="_Toc24316"/>
      <w:r>
        <w:rPr>
          <w:rStyle w:val="19"/>
          <w:rFonts w:hint="eastAsia" w:ascii="仿宋" w:eastAsia="仿宋"/>
          <w:b w:val="0"/>
          <w:bCs w:val="0"/>
        </w:rPr>
        <w:t>八、</w:t>
      </w:r>
      <w:r>
        <w:rPr>
          <w:rFonts w:hint="eastAsia" w:ascii="仿宋" w:eastAsia="仿宋"/>
          <w:b w:val="0"/>
        </w:rPr>
        <w:t>一</w:t>
      </w:r>
      <w:r>
        <w:rPr>
          <w:rStyle w:val="19"/>
          <w:rFonts w:hint="eastAsia" w:ascii="仿宋" w:eastAsia="仿宋"/>
          <w:b w:val="0"/>
          <w:bCs w:val="0"/>
        </w:rPr>
        <w:t>般公共预算财政拨款基本支出决算表</w:t>
      </w:r>
      <w:bookmarkEnd w:id="99"/>
      <w:bookmarkEnd w:id="100"/>
    </w:p>
    <w:p>
      <w:pPr>
        <w:pStyle w:val="4"/>
        <w:rPr>
          <w:rFonts w:ascii="仿宋" w:eastAsia="仿宋"/>
        </w:rPr>
      </w:pPr>
      <w:bookmarkStart w:id="101" w:name="_Toc15396627"/>
      <w:bookmarkStart w:id="102" w:name="_Toc23624"/>
      <w:r>
        <w:rPr>
          <w:rStyle w:val="19"/>
          <w:rFonts w:hint="eastAsia" w:ascii="仿宋" w:eastAsia="仿宋"/>
          <w:b w:val="0"/>
          <w:bCs w:val="0"/>
        </w:rPr>
        <w:t>九、</w:t>
      </w:r>
      <w:r>
        <w:rPr>
          <w:rFonts w:hint="eastAsia" w:ascii="仿宋" w:eastAsia="仿宋"/>
          <w:b w:val="0"/>
        </w:rPr>
        <w:t>一</w:t>
      </w:r>
      <w:r>
        <w:rPr>
          <w:rStyle w:val="19"/>
          <w:rFonts w:hint="eastAsia" w:ascii="仿宋" w:eastAsia="仿宋"/>
          <w:b w:val="0"/>
          <w:bCs w:val="0"/>
        </w:rPr>
        <w:t>般公共预算财政拨款项目支出决算表</w:t>
      </w:r>
      <w:bookmarkEnd w:id="101"/>
      <w:bookmarkEnd w:id="102"/>
    </w:p>
    <w:p>
      <w:pPr>
        <w:pStyle w:val="4"/>
        <w:rPr>
          <w:rFonts w:ascii="仿宋" w:eastAsia="仿宋"/>
        </w:rPr>
      </w:pPr>
      <w:bookmarkStart w:id="103" w:name="_Toc15396628"/>
      <w:bookmarkStart w:id="104" w:name="_Toc12986"/>
      <w:r>
        <w:rPr>
          <w:rStyle w:val="19"/>
          <w:rFonts w:hint="eastAsia" w:ascii="仿宋" w:eastAsia="仿宋"/>
          <w:b w:val="0"/>
          <w:bCs w:val="0"/>
        </w:rPr>
        <w:t>十、</w:t>
      </w:r>
      <w:r>
        <w:rPr>
          <w:rFonts w:hint="eastAsia" w:ascii="仿宋" w:eastAsia="仿宋"/>
          <w:b w:val="0"/>
        </w:rPr>
        <w:t>一</w:t>
      </w:r>
      <w:r>
        <w:rPr>
          <w:rStyle w:val="19"/>
          <w:rFonts w:hint="eastAsia" w:ascii="仿宋" w:eastAsia="仿宋"/>
          <w:b w:val="0"/>
          <w:bCs w:val="0"/>
        </w:rPr>
        <w:t>般公共预算财政拨款“三公”经费支出决算表</w:t>
      </w:r>
      <w:bookmarkEnd w:id="103"/>
      <w:bookmarkEnd w:id="104"/>
    </w:p>
    <w:p>
      <w:pPr>
        <w:pStyle w:val="4"/>
        <w:rPr>
          <w:rFonts w:ascii="仿宋" w:eastAsia="仿宋"/>
        </w:rPr>
      </w:pPr>
      <w:bookmarkStart w:id="105" w:name="_Toc15396629"/>
      <w:bookmarkStart w:id="106" w:name="_Toc23959"/>
      <w:r>
        <w:rPr>
          <w:rStyle w:val="19"/>
          <w:rFonts w:hint="eastAsia" w:ascii="仿宋" w:eastAsia="仿宋"/>
          <w:b w:val="0"/>
          <w:bCs w:val="0"/>
        </w:rPr>
        <w:t>十一、</w:t>
      </w:r>
      <w:r>
        <w:rPr>
          <w:rFonts w:hint="eastAsia" w:ascii="仿宋" w:eastAsia="仿宋"/>
          <w:b w:val="0"/>
        </w:rPr>
        <w:t>政</w:t>
      </w:r>
      <w:r>
        <w:rPr>
          <w:rStyle w:val="19"/>
          <w:rFonts w:hint="eastAsia" w:ascii="仿宋" w:eastAsia="仿宋"/>
          <w:b w:val="0"/>
          <w:bCs w:val="0"/>
        </w:rPr>
        <w:t>府性基金预算财政拨款收入支出决算表</w:t>
      </w:r>
      <w:bookmarkEnd w:id="105"/>
      <w:bookmarkEnd w:id="106"/>
    </w:p>
    <w:p>
      <w:pPr>
        <w:pStyle w:val="4"/>
        <w:rPr>
          <w:rFonts w:ascii="仿宋" w:eastAsia="仿宋"/>
        </w:rPr>
      </w:pPr>
      <w:bookmarkStart w:id="107" w:name="_Toc15396630"/>
      <w:bookmarkStart w:id="108" w:name="_Toc18137"/>
      <w:r>
        <w:rPr>
          <w:rStyle w:val="19"/>
          <w:rFonts w:hint="eastAsia" w:ascii="仿宋" w:eastAsia="仿宋"/>
          <w:b w:val="0"/>
          <w:bCs w:val="0"/>
        </w:rPr>
        <w:t>十二、</w:t>
      </w:r>
      <w:r>
        <w:rPr>
          <w:rFonts w:hint="eastAsia" w:ascii="仿宋" w:eastAsia="仿宋"/>
          <w:b w:val="0"/>
        </w:rPr>
        <w:t>政</w:t>
      </w:r>
      <w:r>
        <w:rPr>
          <w:rStyle w:val="19"/>
          <w:rFonts w:hint="eastAsia" w:ascii="仿宋" w:eastAsia="仿宋"/>
          <w:b w:val="0"/>
          <w:bCs w:val="0"/>
        </w:rPr>
        <w:t>府性基金预算财政拨款“三公”经费支出决算表</w:t>
      </w:r>
      <w:bookmarkEnd w:id="107"/>
      <w:bookmarkEnd w:id="108"/>
    </w:p>
    <w:p>
      <w:pPr>
        <w:pStyle w:val="4"/>
        <w:rPr>
          <w:rStyle w:val="19"/>
          <w:rFonts w:ascii="仿宋" w:eastAsia="仿宋"/>
          <w:b w:val="0"/>
          <w:bCs w:val="0"/>
        </w:rPr>
      </w:pPr>
      <w:bookmarkStart w:id="109" w:name="_Toc15396631"/>
      <w:bookmarkStart w:id="110" w:name="_Toc12343"/>
      <w:r>
        <w:rPr>
          <w:rStyle w:val="19"/>
          <w:rFonts w:hint="eastAsia" w:ascii="仿宋" w:eastAsia="仿宋"/>
          <w:b w:val="0"/>
          <w:bCs w:val="0"/>
        </w:rPr>
        <w:t>十三、</w:t>
      </w:r>
      <w:r>
        <w:rPr>
          <w:rFonts w:hint="eastAsia" w:ascii="仿宋" w:eastAsia="仿宋"/>
          <w:b w:val="0"/>
        </w:rPr>
        <w:t>国</w:t>
      </w:r>
      <w:r>
        <w:rPr>
          <w:rStyle w:val="19"/>
          <w:rFonts w:hint="eastAsia" w:ascii="仿宋" w:eastAsia="仿宋"/>
          <w:b w:val="0"/>
          <w:bCs w:val="0"/>
        </w:rPr>
        <w:t>有资本经营预算财政拨款收入支出决算表</w:t>
      </w:r>
      <w:bookmarkEnd w:id="109"/>
      <w:bookmarkEnd w:id="110"/>
    </w:p>
    <w:p>
      <w:pPr>
        <w:rPr>
          <w:rFonts w:eastAsia="仿宋"/>
        </w:rPr>
      </w:pPr>
      <w:bookmarkStart w:id="111" w:name="_Toc7324"/>
      <w:r>
        <w:rPr>
          <w:rStyle w:val="19"/>
          <w:rFonts w:hint="eastAsia" w:ascii="仿宋" w:eastAsia="仿宋"/>
          <w:b w:val="0"/>
          <w:bCs w:val="0"/>
        </w:rPr>
        <w:t>十四、国有资本经营预算财政拨款支出决算表</w:t>
      </w:r>
      <w:bookmarkEnd w:id="11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1887915"/>
    </w:sdtPr>
    <w:sdtContent>
      <w:p>
        <w:pPr>
          <w:pStyle w:val="9"/>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2">
    <w:nsid w:val="05A3720E"/>
    <w:multiLevelType w:val="multilevel"/>
    <w:tmpl w:val="05A3720E"/>
    <w:lvl w:ilvl="0" w:tentative="0">
      <w:start w:val="1"/>
      <w:numFmt w:val="japaneseCounting"/>
      <w:lvlText w:val="%1、"/>
      <w:lvlJc w:val="left"/>
      <w:pPr>
        <w:ind w:left="630" w:hanging="6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B112DF6"/>
    <w:multiLevelType w:val="multilevel"/>
    <w:tmpl w:val="3B112DF6"/>
    <w:lvl w:ilvl="0" w:tentative="0">
      <w:start w:val="1"/>
      <w:numFmt w:val="japaneseCounting"/>
      <w:lvlText w:val="%1、"/>
      <w:lvlJc w:val="left"/>
      <w:pPr>
        <w:ind w:left="72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55E2112B"/>
    <w:multiLevelType w:val="multilevel"/>
    <w:tmpl w:val="55E2112B"/>
    <w:lvl w:ilvl="0" w:tentative="0">
      <w:start w:val="4"/>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WQxMTVhMzA0ZmI5MzE0ZTQ4Njg5NWUwM2ZhMTJkY2QifQ=="/>
  </w:docVars>
  <w:rsids>
    <w:rsidRoot w:val="008C6A67"/>
    <w:rsid w:val="00065E93"/>
    <w:rsid w:val="0008344D"/>
    <w:rsid w:val="000834B3"/>
    <w:rsid w:val="000C4629"/>
    <w:rsid w:val="000E7E25"/>
    <w:rsid w:val="001060E2"/>
    <w:rsid w:val="0010788B"/>
    <w:rsid w:val="00133A32"/>
    <w:rsid w:val="0013790F"/>
    <w:rsid w:val="00190606"/>
    <w:rsid w:val="00250DF1"/>
    <w:rsid w:val="00265F66"/>
    <w:rsid w:val="002D25F6"/>
    <w:rsid w:val="0038159E"/>
    <w:rsid w:val="00391560"/>
    <w:rsid w:val="003E7CFC"/>
    <w:rsid w:val="00491CCB"/>
    <w:rsid w:val="004A68D9"/>
    <w:rsid w:val="004F33A9"/>
    <w:rsid w:val="004F482C"/>
    <w:rsid w:val="0050014C"/>
    <w:rsid w:val="00510252"/>
    <w:rsid w:val="00514C0E"/>
    <w:rsid w:val="005309E3"/>
    <w:rsid w:val="0059432B"/>
    <w:rsid w:val="005C575B"/>
    <w:rsid w:val="00676979"/>
    <w:rsid w:val="00697252"/>
    <w:rsid w:val="006B337A"/>
    <w:rsid w:val="006E4DA3"/>
    <w:rsid w:val="00717F10"/>
    <w:rsid w:val="00725B29"/>
    <w:rsid w:val="00746648"/>
    <w:rsid w:val="007D153E"/>
    <w:rsid w:val="00832B67"/>
    <w:rsid w:val="008B3ACF"/>
    <w:rsid w:val="008B72B3"/>
    <w:rsid w:val="008C6A67"/>
    <w:rsid w:val="00940864"/>
    <w:rsid w:val="009468E0"/>
    <w:rsid w:val="009C4E37"/>
    <w:rsid w:val="00A84937"/>
    <w:rsid w:val="00AE447C"/>
    <w:rsid w:val="00AE5CD7"/>
    <w:rsid w:val="00B7385C"/>
    <w:rsid w:val="00C269AB"/>
    <w:rsid w:val="00C50861"/>
    <w:rsid w:val="00C51344"/>
    <w:rsid w:val="00C76EF5"/>
    <w:rsid w:val="00C918B8"/>
    <w:rsid w:val="00CE67AA"/>
    <w:rsid w:val="00D42807"/>
    <w:rsid w:val="00D819EB"/>
    <w:rsid w:val="00D96DE6"/>
    <w:rsid w:val="00DB4352"/>
    <w:rsid w:val="00DB7FCB"/>
    <w:rsid w:val="00DC30C5"/>
    <w:rsid w:val="00E01B55"/>
    <w:rsid w:val="00E30A3C"/>
    <w:rsid w:val="00E42A26"/>
    <w:rsid w:val="00E754F1"/>
    <w:rsid w:val="00EC0BA9"/>
    <w:rsid w:val="00F267D7"/>
    <w:rsid w:val="00F641CC"/>
    <w:rsid w:val="09E57B43"/>
    <w:rsid w:val="1A3824C8"/>
    <w:rsid w:val="22D327D6"/>
    <w:rsid w:val="23005595"/>
    <w:rsid w:val="28D948BF"/>
    <w:rsid w:val="2A810D6A"/>
    <w:rsid w:val="2D0143E4"/>
    <w:rsid w:val="3A1C285D"/>
    <w:rsid w:val="3F8C1F10"/>
    <w:rsid w:val="50C94F96"/>
    <w:rsid w:val="53394028"/>
    <w:rsid w:val="5ECA6476"/>
    <w:rsid w:val="7BA57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9"/>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uiPriority w:val="0"/>
    <w:pPr>
      <w:spacing w:beforeLines="30"/>
    </w:pPr>
    <w:rPr>
      <w:rFonts w:ascii="仿宋_GB2312" w:eastAsia="仿宋_GB2312"/>
      <w:kern w:val="0"/>
      <w:sz w:val="30"/>
    </w:r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toc 3"/>
    <w:basedOn w:val="1"/>
    <w:next w:val="1"/>
    <w:uiPriority w:val="0"/>
    <w:pPr>
      <w:tabs>
        <w:tab w:val="right" w:leader="dot" w:pos="8296"/>
      </w:tabs>
      <w:ind w:left="400" w:leftChars="400"/>
    </w:pPr>
  </w:style>
  <w:style w:type="paragraph" w:styleId="8">
    <w:name w:val="Balloon Text"/>
    <w:basedOn w:val="1"/>
    <w:uiPriority w:val="0"/>
    <w:rPr>
      <w:sz w:val="18"/>
      <w:szCs w:val="18"/>
    </w:rPr>
  </w:style>
  <w:style w:type="paragraph" w:styleId="9">
    <w:name w:val="footer"/>
    <w:basedOn w:val="1"/>
    <w:uiPriority w:val="0"/>
    <w:pPr>
      <w:tabs>
        <w:tab w:val="center" w:pos="4153"/>
        <w:tab w:val="right" w:pos="8306"/>
      </w:tabs>
      <w:snapToGrid w:val="0"/>
      <w:jc w:val="left"/>
    </w:pPr>
    <w:rPr>
      <w:rFonts w:ascii="Calibri" w:hAnsi="Calibri"/>
      <w:kern w:val="0"/>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iPriority w:val="0"/>
    <w:pPr>
      <w:tabs>
        <w:tab w:val="right" w:leader="dot" w:pos="8296"/>
      </w:tabs>
      <w:spacing w:before="93"/>
      <w:jc w:val="center"/>
    </w:pPr>
    <w:rPr>
      <w:rFonts w:ascii="仿宋" w:eastAsia="仿宋"/>
      <w:sz w:val="28"/>
      <w:szCs w:val="28"/>
    </w:rPr>
  </w:style>
  <w:style w:type="paragraph" w:styleId="12">
    <w:name w:val="toc 2"/>
    <w:basedOn w:val="1"/>
    <w:next w:val="1"/>
    <w:uiPriority w:val="0"/>
    <w:pPr>
      <w:tabs>
        <w:tab w:val="right" w:leader="dot" w:pos="8296"/>
      </w:tabs>
      <w:ind w:left="200" w:leftChars="200"/>
    </w:pPr>
  </w:style>
  <w:style w:type="paragraph" w:styleId="13">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16">
    <w:name w:val="Strong"/>
    <w:basedOn w:val="15"/>
    <w:uiPriority w:val="0"/>
    <w:rPr>
      <w:b/>
    </w:rPr>
  </w:style>
  <w:style w:type="character" w:styleId="17">
    <w:name w:val="Hyperlink"/>
    <w:basedOn w:val="15"/>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uiPriority w:val="0"/>
    <w:rPr>
      <w:rFonts w:ascii="Cambria" w:hAnsi="Cambria" w:eastAsia="宋体" w:cs="Times New Roman"/>
      <w:b/>
      <w:bCs/>
      <w:kern w:val="2"/>
      <w:sz w:val="32"/>
      <w:szCs w:val="32"/>
      <w:lang w:val="en-US" w:eastAsia="zh-CN" w:bidi="ar-SA"/>
    </w:rPr>
  </w:style>
  <w:style w:type="character" w:customStyle="1" w:styleId="20">
    <w:name w:val="Header Char"/>
    <w:basedOn w:val="15"/>
    <w:uiPriority w:val="0"/>
    <w:rPr>
      <w:rFonts w:ascii="Times New Roman" w:hAnsi="Times New Roman"/>
      <w:sz w:val="18"/>
      <w:szCs w:val="18"/>
    </w:rPr>
  </w:style>
  <w:style w:type="character" w:customStyle="1" w:styleId="21">
    <w:name w:val="Footer Char"/>
    <w:basedOn w:val="15"/>
    <w:uiPriority w:val="0"/>
    <w:rPr>
      <w:rFonts w:ascii="Times New Roman" w:hAnsi="Times New Roman"/>
      <w:sz w:val="18"/>
      <w:szCs w:val="18"/>
    </w:rPr>
  </w:style>
  <w:style w:type="character" w:customStyle="1" w:styleId="22">
    <w:name w:val="Body Text Char"/>
    <w:basedOn w:val="15"/>
    <w:uiPriority w:val="0"/>
    <w:rPr>
      <w:rFonts w:ascii="Times New Roman" w:hAnsi="Times New Roman"/>
      <w:szCs w:val="24"/>
    </w:rPr>
  </w:style>
  <w:style w:type="paragraph" w:customStyle="1" w:styleId="23">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uiPriority w:val="0"/>
    <w:pPr>
      <w:ind w:firstLine="200" w:firstLineChars="200"/>
    </w:pPr>
  </w:style>
  <w:style w:type="paragraph" w:customStyle="1" w:styleId="25">
    <w:name w:val="TOC 标题1"/>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TOC 标题2"/>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WPSOffice手动目录 1"/>
    <w:uiPriority w:val="0"/>
    <w:pPr>
      <w:ind w:leftChars="0"/>
    </w:pPr>
    <w:rPr>
      <w:sz w:val="20"/>
      <w:szCs w:val="20"/>
    </w:rPr>
  </w:style>
  <w:style w:type="paragraph" w:customStyle="1" w:styleId="28">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800" b="0" i="0" baseline="0"/>
              <a:t>收支决算总计情况变动图</a:t>
            </a:r>
            <a:endParaRPr lang="zh-CN" altLang="zh-CN"/>
          </a:p>
        </c:rich>
      </c:tx>
      <c:layout/>
      <c:overlay val="0"/>
    </c:title>
    <c:autoTitleDeleted val="0"/>
    <c:plotArea>
      <c:layout>
        <c:manualLayout>
          <c:layoutTarget val="inner"/>
          <c:xMode val="edge"/>
          <c:yMode val="edge"/>
          <c:x val="0.0912723923816285"/>
          <c:y val="0.168127405903614"/>
          <c:w val="0.699783991422664"/>
          <c:h val="0.700961764124429"/>
        </c:manualLayout>
      </c:layout>
      <c:barChart>
        <c:barDir val="col"/>
        <c:grouping val="clustered"/>
        <c:varyColors val="0"/>
        <c:ser>
          <c:idx val="0"/>
          <c:order val="0"/>
          <c:tx>
            <c:strRef>
              <c:f>Sheet1!$B$1</c:f>
              <c:strCache>
                <c:ptCount val="1"/>
                <c:pt idx="0">
                  <c:v>2020年度</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3"/>
                <c:pt idx="1">
                  <c:v>收入</c:v>
                </c:pt>
                <c:pt idx="2">
                  <c:v>支出</c:v>
                </c:pt>
              </c:strCache>
            </c:strRef>
          </c:cat>
          <c:val>
            <c:numRef>
              <c:f>Sheet1!$B$2:$B$5</c:f>
              <c:numCache>
                <c:formatCode>General</c:formatCode>
                <c:ptCount val="4"/>
                <c:pt idx="1">
                  <c:v>312.61</c:v>
                </c:pt>
                <c:pt idx="2">
                  <c:v>345.73</c:v>
                </c:pt>
              </c:numCache>
            </c:numRef>
          </c:val>
        </c:ser>
        <c:ser>
          <c:idx val="1"/>
          <c:order val="1"/>
          <c:tx>
            <c:strRef>
              <c:f>Sheet1!$C$1</c:f>
              <c:strCache>
                <c:ptCount val="1"/>
                <c:pt idx="0">
                  <c:v>2021年度</c:v>
                </c:pt>
              </c:strCache>
            </c:strRef>
          </c:tx>
          <c:invertIfNegative val="0"/>
          <c:dLbls>
            <c:dLbl>
              <c:idx val="1"/>
              <c:layout>
                <c:manualLayout>
                  <c:x val="0.00266729113482737"/>
                  <c:y val="0.024470898706279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266729113482737"/>
                  <c:y val="0.024470898706279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3"/>
                <c:pt idx="1">
                  <c:v>收入</c:v>
                </c:pt>
                <c:pt idx="2">
                  <c:v>支出</c:v>
                </c:pt>
              </c:strCache>
            </c:strRef>
          </c:cat>
          <c:val>
            <c:numRef>
              <c:f>Sheet1!$C$2:$C$5</c:f>
              <c:numCache>
                <c:formatCode>General</c:formatCode>
                <c:ptCount val="4"/>
                <c:pt idx="1">
                  <c:v>352.85</c:v>
                </c:pt>
                <c:pt idx="2">
                  <c:v>372.43</c:v>
                </c:pt>
              </c:numCache>
            </c:numRef>
          </c:val>
        </c:ser>
        <c:ser>
          <c:idx val="2"/>
          <c:order val="2"/>
          <c:tx>
            <c:strRef>
              <c:f>Sheet1!$D$1</c:f>
              <c:strCache>
                <c:ptCount val="1"/>
                <c:pt idx="0">
                  <c:v>列1</c:v>
                </c:pt>
              </c:strCache>
            </c:strRef>
          </c:tx>
          <c:invertIfNegative val="0"/>
          <c:dLbls>
            <c:delete val="1"/>
          </c:dLbls>
          <c:cat>
            <c:strRef>
              <c:f>Sheet1!$A$2:$A$5</c:f>
              <c:strCache>
                <c:ptCount val="3"/>
                <c:pt idx="1">
                  <c:v>收入</c:v>
                </c:pt>
                <c:pt idx="2">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159586944"/>
        <c:axId val="159621504"/>
      </c:barChart>
      <c:catAx>
        <c:axId val="15958694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9621504"/>
        <c:crosses val="autoZero"/>
        <c:auto val="1"/>
        <c:lblAlgn val="ctr"/>
        <c:lblOffset val="100"/>
        <c:noMultiLvlLbl val="0"/>
      </c:catAx>
      <c:valAx>
        <c:axId val="15962150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9586944"/>
        <c:crosses val="autoZero"/>
        <c:crossBetween val="between"/>
      </c:valAx>
    </c:plotArea>
    <c:legend>
      <c:legendPos val="r"/>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支出决算结构图</c:v>
                </c:pt>
              </c:strCache>
            </c:strRef>
          </c:tx>
          <c:explosion val="0"/>
          <c:dPt>
            <c:idx val="0"/>
            <c:bubble3D val="0"/>
          </c:dPt>
          <c:dPt>
            <c:idx val="1"/>
            <c:bubble3D val="0"/>
          </c:dPt>
          <c:dLbls>
            <c:dLbl>
              <c:idx val="0"/>
              <c:layout>
                <c:manualLayout>
                  <c:x val="-0.103452011382344"/>
                  <c:y val="-0.26439878385867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bg1"/>
                        </a:solidFill>
                        <a:latin typeface="+mn-lt"/>
                        <a:ea typeface="+mn-ea"/>
                        <a:cs typeface="+mn-cs"/>
                      </a:defRPr>
                    </a:pPr>
                    <a:r>
                      <a:rPr lang="zh-CN" altLang="en-US">
                        <a:solidFill>
                          <a:schemeClr val="bg1"/>
                        </a:solidFill>
                      </a:rPr>
                      <a:t>基</a:t>
                    </a:r>
                    <a:r>
                      <a:rPr lang="zh-CN" altLang="en-US"/>
                      <a:t>本支出</a:t>
                    </a:r>
                    <a:r>
                      <a:rPr lang="en-US" altLang="zh-CN"/>
                      <a:t>372.43</a:t>
                    </a:r>
                    <a:r>
                      <a:rPr lang="zh-CN" altLang="en-US"/>
                      <a:t>万元，占</a:t>
                    </a:r>
                    <a:r>
                      <a:rPr lang="en-US" altLang="zh-CN"/>
                      <a:t>87.35%</a:t>
                    </a:r>
                    <a:endParaRPr lang="en-US" altLang="en-US"/>
                  </a:p>
                </c:rich>
              </c:tx>
              <c:numFmt formatCode="General" sourceLinked="1"/>
              <c:spPr>
                <a:solidFill>
                  <a:schemeClr val="accent3"/>
                </a:solidFill>
                <a:ln>
                  <a:solidFill>
                    <a:schemeClr val="accent3"/>
                  </a:solidFill>
                </a:ln>
                <a:effectLst/>
              </c:spPr>
              <c:txPr>
                <a:bodyPr rot="0" spcFirstLastPara="0" vertOverflow="ellipsis" vert="horz" wrap="square" lIns="38100" tIns="19050" rIns="38100" bIns="19050" anchor="ctr" anchorCtr="1"/>
                <a:lstStyle/>
                <a:p>
                  <a:pPr>
                    <a:defRPr lang="zh-CN" sz="1000" b="0" i="0" u="none" strike="noStrike" kern="1200" baseline="0">
                      <a:solidFill>
                        <a:schemeClr val="bg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640481193822359"/>
                  <c:y val="0.092854740772133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bg1"/>
                        </a:solidFill>
                        <a:latin typeface="+mn-lt"/>
                        <a:ea typeface="+mn-ea"/>
                        <a:cs typeface="+mn-cs"/>
                      </a:defRPr>
                    </a:pPr>
                    <a:r>
                      <a:rPr lang="zh-CN" altLang="en-US">
                        <a:solidFill>
                          <a:schemeClr val="bg1"/>
                        </a:solidFill>
                      </a:rPr>
                      <a:t>项</a:t>
                    </a:r>
                    <a:r>
                      <a:rPr lang="zh-CN" altLang="en-US"/>
                      <a:t>目支出</a:t>
                    </a:r>
                    <a:r>
                      <a:rPr lang="en-US" altLang="zh-CN"/>
                      <a:t>47.12</a:t>
                    </a:r>
                    <a:r>
                      <a:rPr lang="zh-CN" altLang="en-US"/>
                      <a:t>万元，占</a:t>
                    </a:r>
                    <a:r>
                      <a:rPr lang="en-US" altLang="zh-CN"/>
                      <a:t>12.65%</a:t>
                    </a:r>
                    <a:endParaRPr lang="en-US" altLang="en-US"/>
                  </a:p>
                </c:rich>
              </c:tx>
              <c:numFmt formatCode="General" sourceLinked="1"/>
              <c:spPr>
                <a:solidFill>
                  <a:schemeClr val="accent3"/>
                </a:solidFill>
                <a:ln>
                  <a:solidFill>
                    <a:schemeClr val="accent3"/>
                  </a:solidFill>
                </a:ln>
                <a:effectLst/>
              </c:spPr>
              <c:txPr>
                <a:bodyPr rot="0" spcFirstLastPara="0" vertOverflow="ellipsis" vert="horz" wrap="square" lIns="38100" tIns="19050" rIns="38100" bIns="19050" anchor="ctr" anchorCtr="1"/>
                <a:lstStyle/>
                <a:p>
                  <a:pPr>
                    <a:defRPr lang="zh-CN" sz="1000" b="0" i="0" u="none" strike="noStrike" kern="1200" baseline="0">
                      <a:solidFill>
                        <a:schemeClr val="bg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solidFill>
                <a:schemeClr val="tx1"/>
              </a:solidFill>
              <a:ln>
                <a:solidFill>
                  <a:schemeClr val="tx1"/>
                </a:solidFill>
              </a:ln>
              <a:effectLst/>
            </c:spPr>
            <c:txPr>
              <a:bodyPr rot="0" spcFirstLastPara="0" vertOverflow="ellipsis" vert="horz" wrap="square" lIns="38100" tIns="19050" rIns="38100" bIns="19050" anchor="ctr" anchorCtr="1"/>
              <a:lstStyle/>
              <a:p>
                <a:pPr>
                  <a:defRPr lang="zh-CN" sz="1000" b="0" i="0" u="none" strike="noStrike" kern="1200" baseline="0">
                    <a:solidFill>
                      <a:schemeClr val="bg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325.32</c:v>
                </c:pt>
                <c:pt idx="1">
                  <c:v>47.12</c:v>
                </c:pt>
              </c:numCache>
            </c:numRef>
          </c:val>
        </c:ser>
        <c:dLbls>
          <c:showLegendKey val="0"/>
          <c:showVal val="1"/>
          <c:showCatName val="0"/>
          <c:showSerName val="0"/>
          <c:showPercent val="0"/>
          <c:showBubbleSize val="0"/>
        </c:dLbls>
      </c:pie3DChart>
    </c:plotArea>
    <c:legend>
      <c:legendPos val="r"/>
      <c:layout>
        <c:manualLayout>
          <c:xMode val="edge"/>
          <c:yMode val="edge"/>
          <c:x val="0.798902916161685"/>
          <c:y val="0.381523162104707"/>
          <c:w val="0.172762692406755"/>
          <c:h val="0.28464707365993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24203084301484"/>
          <c:y val="0.27740327262202"/>
          <c:w val="0.619170659194814"/>
          <c:h val="0.551067091727012"/>
        </c:manualLayout>
      </c:layout>
      <c:barChart>
        <c:barDir val="col"/>
        <c:grouping val="standard"/>
        <c:varyColors val="0"/>
        <c:ser>
          <c:idx val="0"/>
          <c:order val="0"/>
          <c:tx>
            <c:strRef>
              <c:f>Sheet1!$B$2</c:f>
              <c:strCache>
                <c:ptCount val="1"/>
                <c:pt idx="0">
                  <c:v>2020年度</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Sheet1!$A$3:$A$6</c:f>
              <c:strCache>
                <c:ptCount val="4"/>
                <c:pt idx="1">
                  <c:v>财政拨款收入</c:v>
                </c:pt>
                <c:pt idx="3">
                  <c:v>财政拨款支出</c:v>
                </c:pt>
              </c:strCache>
            </c:strRef>
          </c:cat>
          <c:val>
            <c:numRef>
              <c:f>Sheet1!$B$3:$B$6</c:f>
              <c:numCache>
                <c:formatCode>General</c:formatCode>
                <c:ptCount val="4"/>
                <c:pt idx="1">
                  <c:v>312.6</c:v>
                </c:pt>
                <c:pt idx="3">
                  <c:v>345.73</c:v>
                </c:pt>
              </c:numCache>
            </c:numRef>
          </c:val>
        </c:ser>
        <c:ser>
          <c:idx val="1"/>
          <c:order val="1"/>
          <c:tx>
            <c:strRef>
              <c:f>Sheet1!$C$2</c:f>
              <c:strCache>
                <c:ptCount val="1"/>
                <c:pt idx="0">
                  <c:v>2021年度</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Sheet1!$A$3:$A$6</c:f>
              <c:strCache>
                <c:ptCount val="4"/>
                <c:pt idx="1">
                  <c:v>财政拨款收入</c:v>
                </c:pt>
                <c:pt idx="3">
                  <c:v>财政拨款支出</c:v>
                </c:pt>
              </c:strCache>
            </c:strRef>
          </c:cat>
          <c:val>
            <c:numRef>
              <c:f>Sheet1!$C$3:$C$6</c:f>
              <c:numCache>
                <c:formatCode>General</c:formatCode>
                <c:ptCount val="4"/>
                <c:pt idx="1">
                  <c:v>352.85</c:v>
                </c:pt>
                <c:pt idx="3">
                  <c:v>372.43</c:v>
                </c:pt>
              </c:numCache>
            </c:numRef>
          </c:val>
        </c:ser>
        <c:dLbls>
          <c:showLegendKey val="0"/>
          <c:showVal val="1"/>
          <c:showCatName val="0"/>
          <c:showSerName val="0"/>
          <c:showPercent val="0"/>
          <c:showBubbleSize val="0"/>
        </c:dLbls>
        <c:gapWidth val="150"/>
        <c:axId val="159589888"/>
        <c:axId val="159591424"/>
      </c:barChart>
      <c:catAx>
        <c:axId val="1595898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9591424"/>
        <c:crosses val="autoZero"/>
        <c:auto val="1"/>
        <c:lblAlgn val="ctr"/>
        <c:lblOffset val="100"/>
        <c:noMultiLvlLbl val="0"/>
      </c:catAx>
      <c:valAx>
        <c:axId val="1595914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9589888"/>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一般公共预算财政拨款支出决算</a:t>
            </a:r>
            <a:endParaRPr lang="en-US" altLang="zh-CN"/>
          </a:p>
          <a:p>
            <a:pPr>
              <a:defRPr lang="zh-CN" sz="1800" b="1" i="0" u="none" strike="noStrike" kern="1200" baseline="0">
                <a:solidFill>
                  <a:schemeClr val="tx1"/>
                </a:solidFill>
                <a:latin typeface="+mn-lt"/>
                <a:ea typeface="+mn-ea"/>
                <a:cs typeface="+mn-cs"/>
              </a:defRPr>
            </a:pPr>
            <a:r>
              <a:rPr lang="zh-CN" altLang="en-US"/>
              <a:t>变动情况</a:t>
            </a:r>
            <a:endParaRPr lang="zh-CN" altLang="en-US"/>
          </a:p>
        </c:rich>
      </c:tx>
      <c:layout/>
      <c:overlay val="0"/>
    </c:title>
    <c:autoTitleDeleted val="0"/>
    <c:plotArea>
      <c:layout/>
      <c:barChart>
        <c:barDir val="col"/>
        <c:grouping val="standard"/>
        <c:varyColors val="0"/>
        <c:ser>
          <c:idx val="0"/>
          <c:order val="0"/>
          <c:tx>
            <c:strRef>
              <c:f>Sheet1!$B$1</c:f>
              <c:strCache>
                <c:ptCount val="1"/>
                <c:pt idx="0">
                  <c:v>一般公共预算财政拨款支出</c:v>
                </c:pt>
              </c:strCache>
            </c:strRef>
          </c:tx>
          <c:invertIfNegative val="0"/>
          <c:dLbls>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345.73</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1">
                  <c:v>2020年度</c:v>
                </c:pt>
                <c:pt idx="3">
                  <c:v>2021年度</c:v>
                </c:pt>
              </c:strCache>
            </c:strRef>
          </c:cat>
          <c:val>
            <c:numRef>
              <c:f>Sheet1!$B$2:$B$5</c:f>
              <c:numCache>
                <c:formatCode>General</c:formatCode>
                <c:ptCount val="4"/>
                <c:pt idx="1">
                  <c:v>365.31</c:v>
                </c:pt>
                <c:pt idx="3">
                  <c:v>372.43</c:v>
                </c:pt>
              </c:numCache>
            </c:numRef>
          </c:val>
        </c:ser>
        <c:dLbls>
          <c:showLegendKey val="0"/>
          <c:showVal val="1"/>
          <c:showCatName val="0"/>
          <c:showSerName val="0"/>
          <c:showPercent val="0"/>
          <c:showBubbleSize val="0"/>
        </c:dLbls>
        <c:gapWidth val="150"/>
        <c:axId val="118734848"/>
        <c:axId val="118736384"/>
      </c:barChart>
      <c:catAx>
        <c:axId val="11873484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8736384"/>
        <c:crosses val="autoZero"/>
        <c:auto val="1"/>
        <c:lblAlgn val="ctr"/>
        <c:lblOffset val="100"/>
        <c:noMultiLvlLbl val="0"/>
      </c:catAx>
      <c:valAx>
        <c:axId val="11873638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8734848"/>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673344949386745"/>
          <c:y val="0.3296116623193"/>
          <c:w val="0.518893466633551"/>
          <c:h val="0.665874877095473"/>
        </c:manualLayout>
      </c:layout>
      <c:pie3D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Lbls>
            <c:dLbl>
              <c:idx val="0"/>
              <c:layout>
                <c:manualLayout>
                  <c:x val="-0.117509020137231"/>
                  <c:y val="-0.28037281717494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文化旅游体育与传媒（类）支出</a:t>
                    </a:r>
                    <a:r>
                      <a:rPr lang="en-US" altLang="zh-CN"/>
                      <a:t>300.91</a:t>
                    </a:r>
                    <a:r>
                      <a:rPr lang="zh-CN" altLang="en-US"/>
                      <a:t>万元，占</a:t>
                    </a:r>
                    <a:r>
                      <a:rPr lang="en-US" altLang="zh-CN"/>
                      <a:t>80.80%</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50484139157539"/>
                  <c:y val="0.0072544956648220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社会保障和就业</a:t>
                    </a:r>
                    <a:r>
                      <a:rPr lang="en-US" altLang="en-US"/>
                      <a:t>34.39</a:t>
                    </a:r>
                    <a:r>
                      <a:rPr lang="zh-CN" altLang="en-US"/>
                      <a:t>万元，占</a:t>
                    </a:r>
                    <a:r>
                      <a:rPr lang="en-US" altLang="zh-CN"/>
                      <a:t>9.23%</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27162984352457"/>
                  <c:y val="-0.11380057368989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卫生健康支出</a:t>
                    </a:r>
                    <a:r>
                      <a:rPr lang="en-US" altLang="en-US"/>
                      <a:t>16.91</a:t>
                    </a:r>
                    <a:r>
                      <a:rPr lang="zh-CN" altLang="en-US"/>
                      <a:t>万元，占</a:t>
                    </a:r>
                    <a:r>
                      <a:rPr lang="en-US" altLang="zh-CN"/>
                      <a:t>4.54%</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229252925975151"/>
                  <c:y val="-0.023113364699381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住房保障支出</a:t>
                    </a:r>
                    <a:r>
                      <a:rPr lang="en-US" altLang="en-US"/>
                      <a:t>20.23</a:t>
                    </a:r>
                    <a:r>
                      <a:rPr lang="zh-CN" altLang="en-US"/>
                      <a:t>万元，占</a:t>
                    </a:r>
                    <a:r>
                      <a:rPr lang="en-US" altLang="zh-CN"/>
                      <a:t>5.43%</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solidFill>
                <a:schemeClr val="accent3"/>
              </a:solidFill>
              <a:ln>
                <a:solidFill>
                  <a:schemeClr val="accent3"/>
                </a:solid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文化旅游体育与传媒（类）支出</c:v>
                </c:pt>
                <c:pt idx="1">
                  <c:v>社会保障和就业</c:v>
                </c:pt>
                <c:pt idx="2">
                  <c:v>卫生健康支出</c:v>
                </c:pt>
                <c:pt idx="3">
                  <c:v>住房保障支出</c:v>
                </c:pt>
              </c:strCache>
            </c:strRef>
          </c:cat>
          <c:val>
            <c:numRef>
              <c:f>Sheet1!$B$2:$B$5</c:f>
              <c:numCache>
                <c:formatCode>General</c:formatCode>
                <c:ptCount val="4"/>
                <c:pt idx="0">
                  <c:v>300.91</c:v>
                </c:pt>
                <c:pt idx="1">
                  <c:v>34.39</c:v>
                </c:pt>
                <c:pt idx="2">
                  <c:v>16.91</c:v>
                </c:pt>
                <c:pt idx="3">
                  <c:v>20.23</c:v>
                </c:pt>
              </c:numCache>
            </c:numRef>
          </c:val>
        </c:ser>
        <c:dLbls>
          <c:showLegendKey val="0"/>
          <c:showVal val="0"/>
          <c:showCatName val="0"/>
          <c:showSerName val="0"/>
          <c:showPercent val="0"/>
          <c:showBubbleSize val="0"/>
        </c:dLbls>
      </c:pie3DChart>
    </c:plotArea>
    <c:legend>
      <c:legendPos val="r"/>
      <c:layout>
        <c:manualLayout>
          <c:xMode val="edge"/>
          <c:yMode val="edge"/>
          <c:x val="0.665601946036544"/>
          <c:y val="0.285863988363684"/>
          <c:w val="0.331990156058328"/>
          <c:h val="0.53046000828843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Lbls>
            <c:dLbl>
              <c:idx val="0"/>
              <c:layout>
                <c:manualLayout>
                  <c:x val="0.140243733891308"/>
                  <c:y val="-0.14262069935491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公务用车购置及运行维护费</a:t>
                    </a:r>
                    <a:r>
                      <a:rPr lang="en-US" altLang="en-US"/>
                      <a:t>3.15</a:t>
                    </a:r>
                    <a:r>
                      <a:rPr lang="zh-CN" altLang="en-US"/>
                      <a:t>万元</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39607238975309"/>
                  <c:y val="0.043175037976569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公务接待费</a:t>
                    </a:r>
                    <a:r>
                      <a:rPr lang="en-US" altLang="en-US"/>
                      <a:t>0.11</a:t>
                    </a:r>
                    <a:r>
                      <a:rPr lang="zh-CN" altLang="en-US"/>
                      <a:t>万元</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3.15</c:v>
                </c:pt>
                <c:pt idx="1">
                  <c:v>0.11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030102-76C7-46D2-AD94-543291CBD6C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8065</Words>
  <Characters>8978</Characters>
  <Lines>72</Lines>
  <Paragraphs>20</Paragraphs>
  <TotalTime>0</TotalTime>
  <ScaleCrop>false</ScaleCrop>
  <LinksUpToDate>false</LinksUpToDate>
  <CharactersWithSpaces>10035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2022-10-06T03:31:00Z</dcterms:created>
  <dc:creator>曹颖</dc:creator>
  <cp:lastModifiedBy>Jayk</cp:lastModifiedBy>
  <cp:lastPrinted>2022-10-06T02:58:00Z</cp:lastPrinted>
  <dcterms:modified xsi:type="dcterms:W3CDTF">2022-10-08T01:34:01Z</dcterms:modified>
  <dc:title>四川省***</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D4509FBC2DCE4E69952FACE77373178A</vt:lpwstr>
  </property>
</Properties>
</file>