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outlineLvl w:val="0"/>
        <w:rPr>
          <w:rFonts w:eastAsia="方正小标宋简体"/>
          <w:color w:val="000000"/>
          <w:sz w:val="72"/>
          <w:szCs w:val="72"/>
        </w:rPr>
      </w:pPr>
      <w:bookmarkStart w:id="0" w:name="_Toc15306267"/>
    </w:p>
    <w:p>
      <w:pPr>
        <w:spacing w:line="576" w:lineRule="exact"/>
        <w:jc w:val="center"/>
        <w:outlineLvl w:val="0"/>
        <w:rPr>
          <w:rFonts w:eastAsia="方正小标宋简体"/>
          <w:color w:val="000000"/>
          <w:sz w:val="72"/>
          <w:szCs w:val="72"/>
        </w:rPr>
      </w:pPr>
    </w:p>
    <w:p>
      <w:pPr>
        <w:spacing w:line="1000" w:lineRule="exact"/>
        <w:jc w:val="center"/>
        <w:outlineLvl w:val="0"/>
        <w:rPr>
          <w:rFonts w:eastAsia="方正小标宋简体"/>
          <w:color w:val="000000"/>
          <w:sz w:val="72"/>
          <w:szCs w:val="72"/>
        </w:rPr>
      </w:pPr>
    </w:p>
    <w:p>
      <w:pPr>
        <w:spacing w:line="1000" w:lineRule="exact"/>
        <w:jc w:val="center"/>
        <w:rPr>
          <w:rFonts w:eastAsia="黑体"/>
          <w:color w:val="000000"/>
          <w:sz w:val="72"/>
          <w:szCs w:val="72"/>
        </w:rPr>
      </w:pPr>
      <w:bookmarkStart w:id="1" w:name="_Toc15377193"/>
      <w:bookmarkStart w:id="2" w:name="_Toc15396597"/>
      <w:bookmarkStart w:id="3" w:name="_Toc15377425"/>
      <w:bookmarkStart w:id="4" w:name="_Toc15396475"/>
      <w:bookmarkStart w:id="5" w:name="_Toc15378441"/>
      <w:r>
        <w:rPr>
          <w:rFonts w:eastAsia="黑体"/>
          <w:color w:val="000000"/>
          <w:sz w:val="72"/>
          <w:szCs w:val="72"/>
        </w:rPr>
        <w:t>2020年度</w:t>
      </w:r>
      <w:bookmarkEnd w:id="1"/>
      <w:bookmarkEnd w:id="2"/>
      <w:bookmarkEnd w:id="3"/>
      <w:bookmarkEnd w:id="4"/>
      <w:bookmarkEnd w:id="5"/>
    </w:p>
    <w:p>
      <w:pPr>
        <w:spacing w:line="1000" w:lineRule="exact"/>
        <w:jc w:val="center"/>
        <w:rPr>
          <w:rFonts w:eastAsia="方正小标宋简体"/>
          <w:color w:val="000000"/>
          <w:sz w:val="72"/>
          <w:szCs w:val="72"/>
        </w:rPr>
      </w:pPr>
      <w:bookmarkStart w:id="6" w:name="_Toc15396476"/>
      <w:bookmarkStart w:id="7" w:name="_Toc15377426"/>
      <w:bookmarkStart w:id="8" w:name="_Toc15396598"/>
      <w:bookmarkStart w:id="9" w:name="_Toc15378442"/>
      <w:bookmarkStart w:id="10" w:name="_Toc15377194"/>
      <w:r>
        <w:rPr>
          <w:rFonts w:eastAsia="方正小标宋简体"/>
          <w:color w:val="000000"/>
          <w:sz w:val="72"/>
          <w:szCs w:val="72"/>
        </w:rPr>
        <w:t>四川省阿坝州</w:t>
      </w:r>
      <w:bookmarkEnd w:id="0"/>
      <w:bookmarkStart w:id="11" w:name="_Toc15306268"/>
      <w:r>
        <w:rPr>
          <w:rFonts w:eastAsia="方正小标宋简体"/>
          <w:color w:val="000000"/>
          <w:sz w:val="72"/>
          <w:szCs w:val="72"/>
        </w:rPr>
        <w:t>电影服务中心部门决算</w:t>
      </w:r>
      <w:bookmarkEnd w:id="6"/>
      <w:bookmarkEnd w:id="7"/>
      <w:bookmarkEnd w:id="8"/>
      <w:bookmarkEnd w:id="9"/>
      <w:bookmarkEnd w:id="10"/>
      <w:bookmarkEnd w:id="11"/>
    </w:p>
    <w:p>
      <w:pPr>
        <w:spacing w:line="1000" w:lineRule="exact"/>
        <w:jc w:val="center"/>
        <w:rPr>
          <w:rFonts w:eastAsia="方正小标宋简体"/>
          <w:color w:val="000000"/>
          <w:sz w:val="36"/>
          <w:szCs w:val="36"/>
        </w:rPr>
      </w:pPr>
    </w:p>
    <w:p>
      <w:pPr>
        <w:spacing w:line="576" w:lineRule="exact"/>
        <w:rPr>
          <w:rFonts w:eastAsia="方正小标宋简体"/>
          <w:color w:val="000000"/>
          <w:sz w:val="36"/>
          <w:szCs w:val="36"/>
        </w:rPr>
      </w:pPr>
    </w:p>
    <w:p>
      <w:pPr>
        <w:spacing w:line="576" w:lineRule="exact"/>
        <w:rPr>
          <w:rFonts w:eastAsia="方正小标宋简体"/>
          <w:color w:val="000000"/>
          <w:sz w:val="36"/>
          <w:szCs w:val="36"/>
        </w:rPr>
      </w:pPr>
    </w:p>
    <w:p>
      <w:pPr>
        <w:spacing w:line="576" w:lineRule="exact"/>
        <w:rPr>
          <w:rFonts w:eastAsia="方正小标宋简体"/>
          <w:color w:val="000000"/>
          <w:sz w:val="36"/>
          <w:szCs w:val="36"/>
        </w:rPr>
      </w:pPr>
    </w:p>
    <w:p>
      <w:pPr>
        <w:spacing w:line="576" w:lineRule="exact"/>
        <w:rPr>
          <w:rFonts w:eastAsia="方正小标宋简体"/>
          <w:color w:val="000000"/>
          <w:sz w:val="36"/>
          <w:szCs w:val="36"/>
        </w:rPr>
      </w:pPr>
    </w:p>
    <w:p>
      <w:pPr>
        <w:spacing w:line="576" w:lineRule="exact"/>
        <w:rPr>
          <w:rFonts w:eastAsia="方正小标宋简体"/>
          <w:color w:val="000000"/>
          <w:sz w:val="36"/>
          <w:szCs w:val="36"/>
        </w:rPr>
      </w:pPr>
    </w:p>
    <w:p>
      <w:pPr>
        <w:spacing w:line="576" w:lineRule="exact"/>
        <w:rPr>
          <w:rFonts w:eastAsia="方正小标宋简体"/>
          <w:color w:val="000000"/>
          <w:sz w:val="36"/>
          <w:szCs w:val="36"/>
        </w:rPr>
      </w:pPr>
    </w:p>
    <w:p>
      <w:pPr>
        <w:spacing w:line="576" w:lineRule="exact"/>
        <w:rPr>
          <w:rFonts w:eastAsia="方正小标宋简体"/>
          <w:color w:val="000000"/>
          <w:sz w:val="36"/>
          <w:szCs w:val="36"/>
        </w:rPr>
      </w:pPr>
    </w:p>
    <w:p>
      <w:pPr>
        <w:spacing w:line="576" w:lineRule="exact"/>
        <w:rPr>
          <w:rFonts w:eastAsia="方正小标宋简体"/>
          <w:color w:val="000000"/>
          <w:sz w:val="36"/>
          <w:szCs w:val="36"/>
        </w:rPr>
      </w:pPr>
    </w:p>
    <w:p>
      <w:pPr>
        <w:autoSpaceDE w:val="0"/>
        <w:autoSpaceDN w:val="0"/>
        <w:spacing w:line="576" w:lineRule="exact"/>
        <w:ind w:left="420" w:leftChars="200"/>
        <w:jc w:val="left"/>
        <w:rPr>
          <w:color w:val="000000"/>
          <w:sz w:val="32"/>
          <w:szCs w:val="32"/>
        </w:rPr>
      </w:pPr>
      <w:r>
        <w:rPr>
          <w:color w:val="000000"/>
          <w:sz w:val="32"/>
          <w:szCs w:val="32"/>
        </w:rPr>
        <w:t>保密审查情况：已审查，内容审定</w:t>
      </w:r>
    </w:p>
    <w:p>
      <w:pPr>
        <w:widowControl/>
        <w:spacing w:line="576" w:lineRule="exact"/>
        <w:ind w:firstLine="480" w:firstLineChars="150"/>
        <w:rPr>
          <w:color w:val="000000"/>
          <w:sz w:val="32"/>
          <w:szCs w:val="32"/>
        </w:rPr>
      </w:pPr>
      <w:r>
        <w:rPr>
          <w:color w:val="000000"/>
          <w:sz w:val="32"/>
          <w:szCs w:val="32"/>
        </w:rPr>
        <w:t>部门主要负责人审签情况：已审签，同意对外公开</w:t>
      </w:r>
    </w:p>
    <w:p>
      <w:pPr>
        <w:widowControl/>
        <w:spacing w:line="576" w:lineRule="exact"/>
        <w:ind w:firstLine="480" w:firstLineChars="150"/>
        <w:rPr>
          <w:color w:val="000000"/>
          <w:sz w:val="32"/>
          <w:szCs w:val="32"/>
        </w:rPr>
      </w:pPr>
      <w:r>
        <w:rPr>
          <w:color w:val="000000"/>
          <w:sz w:val="32"/>
          <w:szCs w:val="32"/>
        </w:rPr>
        <w:t>公开时间：2021年 9月</w:t>
      </w:r>
      <w:r>
        <w:rPr>
          <w:rFonts w:hint="eastAsia"/>
          <w:color w:val="000000"/>
          <w:sz w:val="32"/>
          <w:szCs w:val="32"/>
          <w:lang w:val="en-US" w:eastAsia="zh-CN"/>
        </w:rPr>
        <w:t>30</w:t>
      </w:r>
      <w:r>
        <w:rPr>
          <w:color w:val="000000"/>
          <w:sz w:val="32"/>
          <w:szCs w:val="32"/>
        </w:rPr>
        <w:t xml:space="preserve"> 日</w:t>
      </w:r>
    </w:p>
    <w:p>
      <w:pPr>
        <w:autoSpaceDE w:val="0"/>
        <w:autoSpaceDN w:val="0"/>
        <w:spacing w:line="576" w:lineRule="exact"/>
        <w:ind w:left="420" w:leftChars="200"/>
        <w:jc w:val="left"/>
        <w:rPr>
          <w:color w:val="000000"/>
          <w:sz w:val="32"/>
          <w:szCs w:val="32"/>
        </w:rPr>
      </w:pPr>
    </w:p>
    <w:p>
      <w:pPr>
        <w:widowControl/>
        <w:spacing w:line="576" w:lineRule="exact"/>
        <w:jc w:val="center"/>
        <w:rPr>
          <w:rFonts w:eastAsia="方正小标宋简体"/>
          <w:color w:val="000000"/>
          <w:sz w:val="36"/>
          <w:szCs w:val="36"/>
        </w:rPr>
      </w:pPr>
    </w:p>
    <w:p>
      <w:pPr>
        <w:widowControl/>
        <w:spacing w:line="576" w:lineRule="exact"/>
        <w:ind w:firstLine="3600" w:firstLineChars="750"/>
        <w:rPr>
          <w:rFonts w:eastAsia="黑体"/>
          <w:color w:val="000000"/>
          <w:sz w:val="48"/>
          <w:szCs w:val="48"/>
        </w:rPr>
      </w:pPr>
      <w:r>
        <w:rPr>
          <w:rFonts w:eastAsia="黑体"/>
          <w:color w:val="000000"/>
          <w:sz w:val="48"/>
          <w:szCs w:val="48"/>
        </w:rPr>
        <w:t>目　录</w:t>
      </w:r>
    </w:p>
    <w:p>
      <w:pPr>
        <w:pStyle w:val="14"/>
        <w:tabs>
          <w:tab w:val="right" w:leader="dot" w:pos="8296"/>
        </w:tabs>
        <w:spacing w:line="576" w:lineRule="exact"/>
        <w:rPr>
          <w:rFonts w:ascii="Times New Roman" w:eastAsia="仿宋_GB2312"/>
          <w:b w:val="0"/>
          <w:bCs w:val="0"/>
          <w:caps w:val="0"/>
          <w:color w:val="000000"/>
          <w:sz w:val="32"/>
          <w:szCs w:val="32"/>
        </w:rPr>
      </w:pPr>
      <w:r>
        <w:rPr>
          <w:rFonts w:ascii="Times New Roman" w:eastAsia="仿宋_GB2312"/>
          <w:b w:val="0"/>
          <w:bCs w:val="0"/>
          <w:caps w:val="0"/>
          <w:color w:val="000000"/>
          <w:sz w:val="32"/>
          <w:szCs w:val="32"/>
        </w:rPr>
        <w:fldChar w:fldCharType="begin"/>
      </w:r>
      <w:r>
        <w:rPr>
          <w:rFonts w:ascii="Times New Roman" w:eastAsia="仿宋_GB2312"/>
          <w:b w:val="0"/>
          <w:bCs w:val="0"/>
          <w:caps w:val="0"/>
          <w:color w:val="000000"/>
          <w:sz w:val="32"/>
          <w:szCs w:val="32"/>
        </w:rPr>
        <w:instrText xml:space="preserve"> TOC \o \u </w:instrText>
      </w:r>
      <w:r>
        <w:rPr>
          <w:rFonts w:ascii="Times New Roman" w:eastAsia="仿宋_GB2312"/>
          <w:b w:val="0"/>
          <w:bCs w:val="0"/>
          <w:caps w:val="0"/>
          <w:color w:val="000000"/>
          <w:sz w:val="32"/>
          <w:szCs w:val="32"/>
        </w:rPr>
        <w:fldChar w:fldCharType="separate"/>
      </w:r>
      <w:r>
        <w:rPr>
          <w:rFonts w:ascii="Times New Roman" w:eastAsia="仿宋_GB2312"/>
          <w:b w:val="0"/>
          <w:caps w:val="0"/>
          <w:color w:val="000000"/>
          <w:sz w:val="32"/>
          <w:szCs w:val="32"/>
        </w:rPr>
        <w:t xml:space="preserve">第一部分 </w:t>
      </w:r>
      <w:r>
        <w:rPr>
          <w:rFonts w:ascii="Times New Roman" w:eastAsia="仿宋_GB2312"/>
          <w:b w:val="0"/>
          <w:bCs w:val="0"/>
          <w:caps w:val="0"/>
          <w:color w:val="000000"/>
          <w:sz w:val="32"/>
          <w:szCs w:val="32"/>
        </w:rPr>
        <w:t>部门概况</w:t>
      </w:r>
      <w:r>
        <w:rPr>
          <w:rFonts w:ascii="Times New Roman" w:eastAsia="仿宋_GB2312"/>
          <w:caps w:val="0"/>
          <w:color w:val="000000"/>
          <w:sz w:val="32"/>
          <w:szCs w:val="32"/>
        </w:rPr>
        <w:tab/>
      </w:r>
      <w:r>
        <w:rPr>
          <w:rFonts w:ascii="Times New Roman" w:eastAsia="仿宋_GB2312"/>
          <w:caps w:val="0"/>
          <w:color w:val="000000"/>
          <w:sz w:val="32"/>
          <w:szCs w:val="32"/>
        </w:rPr>
        <w:fldChar w:fldCharType="begin"/>
      </w:r>
      <w:r>
        <w:rPr>
          <w:rFonts w:ascii="Times New Roman" w:eastAsia="仿宋_GB2312"/>
          <w:caps w:val="0"/>
          <w:color w:val="000000"/>
          <w:sz w:val="32"/>
          <w:szCs w:val="32"/>
        </w:rPr>
        <w:instrText xml:space="preserve"> PAGEREF _Toc79163851 \h </w:instrText>
      </w:r>
      <w:r>
        <w:rPr>
          <w:rFonts w:ascii="Times New Roman" w:eastAsia="仿宋_GB2312"/>
          <w:caps w:val="0"/>
          <w:color w:val="000000"/>
          <w:sz w:val="32"/>
          <w:szCs w:val="32"/>
        </w:rPr>
        <w:fldChar w:fldCharType="separate"/>
      </w:r>
      <w:r>
        <w:rPr>
          <w:rFonts w:ascii="Times New Roman" w:eastAsia="仿宋_GB2312"/>
          <w:caps w:val="0"/>
          <w:color w:val="000000"/>
          <w:sz w:val="32"/>
          <w:szCs w:val="32"/>
        </w:rPr>
        <w:t>4</w:t>
      </w:r>
      <w:r>
        <w:rPr>
          <w:rFonts w:ascii="Times New Roman" w:eastAsia="仿宋_GB2312"/>
          <w:caps w:val="0"/>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一、基本职能及主要工作</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_Toc79163852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4</w:t>
      </w:r>
      <w:r>
        <w:rPr>
          <w:rFonts w:ascii="Times New Roman" w:eastAsia="仿宋_GB2312"/>
          <w:smallCaps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bCs/>
          <w:i w:val="0"/>
          <w:color w:val="000000"/>
          <w:sz w:val="32"/>
          <w:szCs w:val="32"/>
        </w:rPr>
        <w:t>（一）主要职能。</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_Toc79163853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4</w:t>
      </w:r>
      <w:r>
        <w:rPr>
          <w:rFonts w:ascii="Times New Roman" w:eastAsia="仿宋_GB2312"/>
          <w:i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bCs/>
          <w:i w:val="0"/>
          <w:color w:val="000000"/>
          <w:sz w:val="32"/>
          <w:szCs w:val="32"/>
        </w:rPr>
        <w:t>（二）2020年重点工作完成情况。</w:t>
      </w:r>
      <w:r>
        <w:rPr>
          <w:rFonts w:ascii="Times New Roman" w:eastAsia="仿宋_GB2312"/>
          <w:color w:val="000000"/>
          <w:sz w:val="32"/>
          <w:szCs w:val="32"/>
        </w:rPr>
        <w:tab/>
      </w:r>
      <w:r>
        <w:rPr>
          <w:rFonts w:ascii="Times New Roman" w:eastAsia="仿宋_GB2312"/>
          <w:color w:val="000000"/>
          <w:sz w:val="32"/>
          <w:szCs w:val="32"/>
        </w:rPr>
        <w:fldChar w:fldCharType="begin"/>
      </w:r>
      <w:r>
        <w:rPr>
          <w:rFonts w:ascii="Times New Roman" w:eastAsia="仿宋_GB2312"/>
          <w:color w:val="000000"/>
          <w:sz w:val="32"/>
          <w:szCs w:val="32"/>
        </w:rPr>
        <w:instrText xml:space="preserve"> PAGEREF _Toc79163854 \h </w:instrText>
      </w:r>
      <w:r>
        <w:rPr>
          <w:rFonts w:ascii="Times New Roman" w:eastAsia="仿宋_GB2312"/>
          <w:color w:val="000000"/>
          <w:sz w:val="32"/>
          <w:szCs w:val="32"/>
        </w:rPr>
        <w:fldChar w:fldCharType="separate"/>
      </w:r>
      <w:r>
        <w:rPr>
          <w:rFonts w:ascii="Times New Roman" w:eastAsia="仿宋_GB2312"/>
          <w:color w:val="000000"/>
          <w:sz w:val="32"/>
          <w:szCs w:val="32"/>
        </w:rPr>
        <w:t>4</w:t>
      </w:r>
      <w:r>
        <w:rPr>
          <w:rFonts w:ascii="Times New Roman" w:eastAsia="仿宋_GB2312"/>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二、机构设置</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_Toc79163855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7</w:t>
      </w:r>
      <w:r>
        <w:rPr>
          <w:rFonts w:ascii="Times New Roman" w:eastAsia="仿宋_GB2312"/>
          <w:smallCaps w:val="0"/>
          <w:color w:val="000000"/>
          <w:sz w:val="32"/>
          <w:szCs w:val="32"/>
        </w:rPr>
        <w:fldChar w:fldCharType="end"/>
      </w:r>
    </w:p>
    <w:p>
      <w:pPr>
        <w:pStyle w:val="14"/>
        <w:tabs>
          <w:tab w:val="right" w:leader="dot" w:pos="8296"/>
        </w:tabs>
        <w:spacing w:line="576" w:lineRule="exact"/>
        <w:rPr>
          <w:rFonts w:ascii="Times New Roman" w:eastAsia="仿宋_GB2312"/>
          <w:b w:val="0"/>
          <w:bCs w:val="0"/>
          <w:caps w:val="0"/>
          <w:color w:val="000000"/>
          <w:sz w:val="32"/>
          <w:szCs w:val="32"/>
        </w:rPr>
      </w:pPr>
      <w:r>
        <w:rPr>
          <w:rFonts w:ascii="Times New Roman" w:eastAsia="仿宋_GB2312"/>
          <w:b w:val="0"/>
          <w:caps w:val="0"/>
          <w:color w:val="000000"/>
          <w:sz w:val="32"/>
          <w:szCs w:val="32"/>
        </w:rPr>
        <w:t>第二部分</w:t>
      </w:r>
      <w:r>
        <w:rPr>
          <w:rFonts w:ascii="Times New Roman" w:eastAsia="仿宋_GB2312"/>
          <w:caps w:val="0"/>
          <w:color w:val="000000"/>
          <w:sz w:val="32"/>
          <w:szCs w:val="32"/>
        </w:rPr>
        <w:t xml:space="preserve"> </w:t>
      </w:r>
      <w:r>
        <w:rPr>
          <w:rFonts w:ascii="Times New Roman" w:eastAsia="仿宋_GB2312"/>
          <w:b w:val="0"/>
          <w:bCs w:val="0"/>
          <w:caps w:val="0"/>
          <w:color w:val="000000"/>
          <w:sz w:val="32"/>
          <w:szCs w:val="32"/>
        </w:rPr>
        <w:t>2020年度部门决算情况说明</w:t>
      </w:r>
      <w:r>
        <w:rPr>
          <w:rFonts w:ascii="Times New Roman" w:eastAsia="仿宋_GB2312"/>
          <w:caps w:val="0"/>
          <w:color w:val="000000"/>
          <w:sz w:val="32"/>
          <w:szCs w:val="32"/>
        </w:rPr>
        <w:tab/>
      </w:r>
      <w:r>
        <w:rPr>
          <w:rFonts w:ascii="Times New Roman" w:eastAsia="仿宋_GB2312"/>
          <w:caps w:val="0"/>
          <w:color w:val="000000"/>
          <w:sz w:val="32"/>
          <w:szCs w:val="32"/>
        </w:rPr>
        <w:fldChar w:fldCharType="begin"/>
      </w:r>
      <w:r>
        <w:rPr>
          <w:rFonts w:ascii="Times New Roman" w:eastAsia="仿宋_GB2312"/>
          <w:caps w:val="0"/>
          <w:color w:val="000000"/>
          <w:sz w:val="32"/>
          <w:szCs w:val="32"/>
        </w:rPr>
        <w:instrText xml:space="preserve"> PAGEREF _Toc79163859 \h </w:instrText>
      </w:r>
      <w:r>
        <w:rPr>
          <w:rFonts w:ascii="Times New Roman" w:eastAsia="仿宋_GB2312"/>
          <w:caps w:val="0"/>
          <w:color w:val="000000"/>
          <w:sz w:val="32"/>
          <w:szCs w:val="32"/>
        </w:rPr>
        <w:fldChar w:fldCharType="separate"/>
      </w:r>
      <w:r>
        <w:rPr>
          <w:rFonts w:ascii="Times New Roman" w:eastAsia="仿宋_GB2312"/>
          <w:caps w:val="0"/>
          <w:color w:val="000000"/>
          <w:sz w:val="32"/>
          <w:szCs w:val="32"/>
        </w:rPr>
        <w:t>8</w:t>
      </w:r>
      <w:r>
        <w:rPr>
          <w:rFonts w:ascii="Times New Roman" w:eastAsia="仿宋_GB2312"/>
          <w:caps w:val="0"/>
          <w:color w:val="000000"/>
          <w:sz w:val="32"/>
          <w:szCs w:val="32"/>
        </w:rPr>
        <w:fldChar w:fldCharType="end"/>
      </w:r>
    </w:p>
    <w:p>
      <w:pPr>
        <w:pStyle w:val="17"/>
        <w:tabs>
          <w:tab w:val="left" w:pos="840"/>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一、收</w:t>
      </w:r>
      <w:r>
        <w:rPr>
          <w:rFonts w:ascii="Times New Roman" w:eastAsia="仿宋_GB2312"/>
          <w:bCs/>
          <w:smallCaps w:val="0"/>
          <w:color w:val="000000"/>
          <w:sz w:val="32"/>
          <w:szCs w:val="32"/>
        </w:rPr>
        <w:t>入支出决算总体情况说明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_Toc79163860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8</w:t>
      </w:r>
      <w:r>
        <w:rPr>
          <w:rFonts w:ascii="Times New Roman" w:eastAsia="仿宋_GB2312"/>
          <w:smallCaps w:val="0"/>
          <w:color w:val="000000"/>
          <w:sz w:val="32"/>
          <w:szCs w:val="32"/>
        </w:rPr>
        <w:fldChar w:fldCharType="end"/>
      </w:r>
    </w:p>
    <w:p>
      <w:pPr>
        <w:pStyle w:val="17"/>
        <w:tabs>
          <w:tab w:val="left" w:pos="840"/>
          <w:tab w:val="right" w:leader="dot" w:pos="8296"/>
        </w:tabs>
        <w:spacing w:line="576" w:lineRule="exact"/>
        <w:rPr>
          <w:rFonts w:ascii="Times New Roman" w:eastAsia="仿宋_GB2312"/>
          <w:smallCaps w:val="0"/>
          <w:color w:val="000000"/>
          <w:sz w:val="32"/>
          <w:szCs w:val="32"/>
        </w:rPr>
      </w:pPr>
      <w:r>
        <w:rPr>
          <w:rFonts w:ascii="Times New Roman" w:eastAsia="仿宋_GB2312"/>
          <w:bCs/>
          <w:smallCaps w:val="0"/>
          <w:color w:val="000000"/>
          <w:sz w:val="32"/>
          <w:szCs w:val="32"/>
        </w:rPr>
        <w:t>二</w:t>
      </w:r>
      <w:r>
        <w:rPr>
          <w:rFonts w:ascii="Times New Roman" w:eastAsia="仿宋_GB2312"/>
          <w:smallCaps w:val="0"/>
          <w:color w:val="000000"/>
          <w:sz w:val="32"/>
          <w:szCs w:val="32"/>
        </w:rPr>
        <w:t>收</w:t>
      </w:r>
      <w:r>
        <w:rPr>
          <w:rFonts w:ascii="Times New Roman" w:eastAsia="仿宋_GB2312"/>
          <w:bCs/>
          <w:smallCaps w:val="0"/>
          <w:color w:val="000000"/>
          <w:sz w:val="32"/>
          <w:szCs w:val="32"/>
        </w:rPr>
        <w:t>入决算情况说明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_Toc79163861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8</w:t>
      </w:r>
      <w:r>
        <w:rPr>
          <w:rFonts w:ascii="Times New Roman" w:eastAsia="仿宋_GB2312"/>
          <w:smallCaps w:val="0"/>
          <w:color w:val="000000"/>
          <w:sz w:val="32"/>
          <w:szCs w:val="32"/>
        </w:rPr>
        <w:fldChar w:fldCharType="end"/>
      </w:r>
    </w:p>
    <w:p>
      <w:pPr>
        <w:pStyle w:val="17"/>
        <w:tabs>
          <w:tab w:val="left" w:pos="840"/>
          <w:tab w:val="right" w:leader="dot" w:pos="8296"/>
        </w:tabs>
        <w:spacing w:line="576" w:lineRule="exact"/>
        <w:rPr>
          <w:rFonts w:ascii="Times New Roman" w:eastAsia="仿宋_GB2312"/>
          <w:smallCaps w:val="0"/>
          <w:color w:val="000000"/>
          <w:sz w:val="32"/>
          <w:szCs w:val="32"/>
        </w:rPr>
      </w:pPr>
      <w:r>
        <w:rPr>
          <w:rFonts w:ascii="Times New Roman" w:eastAsia="仿宋_GB2312"/>
          <w:bCs/>
          <w:smallCaps w:val="0"/>
          <w:color w:val="000000"/>
          <w:sz w:val="32"/>
          <w:szCs w:val="32"/>
        </w:rPr>
        <w:t>三、</w:t>
      </w:r>
      <w:r>
        <w:rPr>
          <w:rFonts w:ascii="Times New Roman" w:eastAsia="仿宋_GB2312"/>
          <w:smallCaps w:val="0"/>
          <w:color w:val="000000"/>
          <w:sz w:val="32"/>
          <w:szCs w:val="32"/>
        </w:rPr>
        <w:t>支</w:t>
      </w:r>
      <w:r>
        <w:rPr>
          <w:rFonts w:ascii="Times New Roman" w:eastAsia="仿宋_GB2312"/>
          <w:bCs/>
          <w:smallCaps w:val="0"/>
          <w:color w:val="000000"/>
          <w:sz w:val="32"/>
          <w:szCs w:val="32"/>
        </w:rPr>
        <w:t>出决算情况说明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_Toc79163862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9</w:t>
      </w:r>
      <w:r>
        <w:rPr>
          <w:rFonts w:ascii="Times New Roman" w:eastAsia="仿宋_GB2312"/>
          <w:smallCaps w:val="0"/>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四、财</w:t>
      </w:r>
      <w:r>
        <w:rPr>
          <w:rFonts w:ascii="Times New Roman" w:eastAsia="仿宋_GB2312"/>
          <w:bCs/>
          <w:smallCaps w:val="0"/>
          <w:color w:val="000000"/>
          <w:sz w:val="32"/>
          <w:szCs w:val="32"/>
        </w:rPr>
        <w:t>政拨款收入支出决算总体情况说明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_Toc79163863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9</w:t>
      </w:r>
      <w:r>
        <w:rPr>
          <w:rFonts w:ascii="Times New Roman" w:eastAsia="仿宋_GB2312"/>
          <w:smallCaps w:val="0"/>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五、</w:t>
      </w:r>
      <w:r>
        <w:rPr>
          <w:rFonts w:ascii="Times New Roman" w:eastAsia="仿宋_GB2312"/>
          <w:b/>
          <w:smallCaps w:val="0"/>
          <w:color w:val="000000"/>
          <w:sz w:val="32"/>
          <w:szCs w:val="32"/>
        </w:rPr>
        <w:t>一</w:t>
      </w:r>
      <w:r>
        <w:rPr>
          <w:rFonts w:ascii="Times New Roman" w:eastAsia="仿宋_GB2312"/>
          <w:bCs/>
          <w:smallCaps w:val="0"/>
          <w:color w:val="000000"/>
          <w:sz w:val="32"/>
          <w:szCs w:val="32"/>
        </w:rPr>
        <w:t>般公共预算财政拨款支出决算情况说明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_Toc79163864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10</w:t>
      </w:r>
      <w:r>
        <w:rPr>
          <w:rFonts w:ascii="Times New Roman" w:eastAsia="仿宋_GB2312"/>
          <w:smallCaps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（一）一般公共预算财政拨款支出决算总体情况</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_Toc79163865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10</w:t>
      </w:r>
      <w:r>
        <w:rPr>
          <w:rFonts w:ascii="Times New Roman" w:eastAsia="仿宋_GB2312"/>
          <w:i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（二）一般公共预算财政拨款支出决算结构情况</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_Toc79163866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11</w:t>
      </w:r>
      <w:r>
        <w:rPr>
          <w:rFonts w:ascii="Times New Roman" w:eastAsia="仿宋_GB2312"/>
          <w:i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（三）一般公共预算财政拨款支出决算具体情况</w:t>
      </w:r>
      <w:r>
        <w:rPr>
          <w:rFonts w:ascii="Times New Roman" w:eastAsia="仿宋_GB2312"/>
          <w:b/>
          <w:bCs/>
          <w:i w:val="0"/>
          <w:color w:val="000000"/>
          <w:sz w:val="32"/>
          <w:szCs w:val="32"/>
        </w:rPr>
        <w:tab/>
      </w:r>
      <w:r>
        <w:rPr>
          <w:rFonts w:ascii="Times New Roman" w:eastAsia="仿宋_GB2312"/>
          <w:color w:val="000000"/>
          <w:sz w:val="32"/>
          <w:szCs w:val="32"/>
        </w:rPr>
        <w:fldChar w:fldCharType="begin"/>
      </w:r>
      <w:r>
        <w:rPr>
          <w:rFonts w:ascii="Times New Roman" w:eastAsia="仿宋_GB2312"/>
          <w:color w:val="000000"/>
          <w:sz w:val="32"/>
          <w:szCs w:val="32"/>
        </w:rPr>
        <w:instrText xml:space="preserve"> PAGEREF _Toc79163867 \h </w:instrText>
      </w:r>
      <w:r>
        <w:rPr>
          <w:rFonts w:ascii="Times New Roman" w:eastAsia="仿宋_GB2312"/>
          <w:color w:val="000000"/>
          <w:sz w:val="32"/>
          <w:szCs w:val="32"/>
        </w:rPr>
        <w:fldChar w:fldCharType="separate"/>
      </w:r>
      <w:r>
        <w:rPr>
          <w:rFonts w:ascii="Times New Roman" w:eastAsia="仿宋_GB2312"/>
          <w:color w:val="000000"/>
          <w:sz w:val="32"/>
          <w:szCs w:val="32"/>
        </w:rPr>
        <w:t>11</w:t>
      </w:r>
      <w:r>
        <w:rPr>
          <w:rFonts w:ascii="Times New Roman" w:eastAsia="仿宋_GB2312"/>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六</w:t>
      </w:r>
      <w:r>
        <w:rPr>
          <w:rFonts w:ascii="Times New Roman" w:eastAsia="仿宋_GB2312"/>
          <w:b/>
          <w:smallCaps w:val="0"/>
          <w:color w:val="000000"/>
          <w:sz w:val="32"/>
          <w:szCs w:val="32"/>
        </w:rPr>
        <w:t>、一</w:t>
      </w:r>
      <w:r>
        <w:rPr>
          <w:rFonts w:ascii="Times New Roman" w:eastAsia="仿宋_GB2312"/>
          <w:bCs/>
          <w:smallCaps w:val="0"/>
          <w:color w:val="000000"/>
          <w:sz w:val="32"/>
          <w:szCs w:val="32"/>
        </w:rPr>
        <w:t>般公共预算财政拨款基本支出决算情况说明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_Toc79163868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12</w:t>
      </w:r>
      <w:r>
        <w:rPr>
          <w:rFonts w:ascii="Times New Roman" w:eastAsia="仿宋_GB2312"/>
          <w:smallCaps w:val="0"/>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七、</w:t>
      </w:r>
      <w:r>
        <w:rPr>
          <w:rFonts w:ascii="Times New Roman" w:eastAsia="仿宋_GB2312"/>
          <w:b/>
          <w:bCs/>
          <w:smallCaps w:val="0"/>
          <w:color w:val="000000"/>
          <w:sz w:val="32"/>
          <w:szCs w:val="32"/>
        </w:rPr>
        <w:t>“</w:t>
      </w:r>
      <w:r>
        <w:rPr>
          <w:rFonts w:ascii="Times New Roman" w:eastAsia="仿宋_GB2312"/>
          <w:bCs/>
          <w:smallCaps w:val="0"/>
          <w:color w:val="000000"/>
          <w:sz w:val="32"/>
          <w:szCs w:val="32"/>
        </w:rPr>
        <w:t>三公”经费财政拨款支出决算情况说明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_Toc79163869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13</w:t>
      </w:r>
      <w:r>
        <w:rPr>
          <w:rFonts w:ascii="Times New Roman" w:eastAsia="仿宋_GB2312"/>
          <w:smallCaps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（一）“三公”经费财政拨款支出决算总体情况说明</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_Toc79163870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13</w:t>
      </w:r>
      <w:r>
        <w:rPr>
          <w:rFonts w:ascii="Times New Roman" w:eastAsia="仿宋_GB2312"/>
          <w:i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（二）“三公”经费财政拨款支出决算具体情况说明</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_Toc79163871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13</w:t>
      </w:r>
      <w:r>
        <w:rPr>
          <w:rFonts w:ascii="Times New Roman" w:eastAsia="仿宋_GB2312"/>
          <w:i w:val="0"/>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八、</w:t>
      </w:r>
      <w:r>
        <w:rPr>
          <w:rFonts w:ascii="Times New Roman" w:eastAsia="仿宋_GB2312"/>
          <w:bCs/>
          <w:smallCaps w:val="0"/>
          <w:color w:val="000000"/>
          <w:sz w:val="32"/>
          <w:szCs w:val="32"/>
        </w:rPr>
        <w:t>政府性基金预算支出决算情况说明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_Toc79163872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14</w:t>
      </w:r>
      <w:r>
        <w:rPr>
          <w:rFonts w:ascii="Times New Roman" w:eastAsia="仿宋_GB2312"/>
          <w:smallCaps w:val="0"/>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bCs/>
          <w:smallCaps w:val="0"/>
          <w:color w:val="000000"/>
          <w:sz w:val="32"/>
          <w:szCs w:val="32"/>
        </w:rPr>
        <w:t>九、 国有资本经营预算支出决算情况说明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_Toc79163873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14</w:t>
      </w:r>
      <w:r>
        <w:rPr>
          <w:rFonts w:ascii="Times New Roman" w:eastAsia="仿宋_GB2312"/>
          <w:smallCaps w:val="0"/>
          <w:color w:val="000000"/>
          <w:sz w:val="32"/>
          <w:szCs w:val="32"/>
        </w:rPr>
        <w:fldChar w:fldCharType="end"/>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十</w:t>
      </w:r>
      <w:r>
        <w:rPr>
          <w:rFonts w:ascii="Times New Roman" w:eastAsia="仿宋_GB2312"/>
          <w:b/>
          <w:bCs/>
          <w:smallCaps w:val="0"/>
          <w:color w:val="000000"/>
          <w:sz w:val="32"/>
          <w:szCs w:val="32"/>
        </w:rPr>
        <w:t>、</w:t>
      </w:r>
      <w:r>
        <w:rPr>
          <w:rFonts w:ascii="Times New Roman" w:eastAsia="仿宋_GB2312"/>
          <w:bCs/>
          <w:smallCaps w:val="0"/>
          <w:color w:val="000000"/>
          <w:sz w:val="32"/>
          <w:szCs w:val="32"/>
        </w:rPr>
        <w:t>其他重要事项的情况说明</w:t>
      </w:r>
      <w:r>
        <w:rPr>
          <w:rFonts w:ascii="Times New Roman" w:eastAsia="仿宋_GB2312"/>
          <w:smallCaps w:val="0"/>
          <w:color w:val="000000"/>
          <w:sz w:val="32"/>
          <w:szCs w:val="32"/>
        </w:rPr>
        <w:tab/>
      </w:r>
      <w:r>
        <w:rPr>
          <w:rFonts w:ascii="Times New Roman" w:eastAsia="仿宋_GB2312"/>
          <w:smallCaps w:val="0"/>
          <w:color w:val="000000"/>
          <w:sz w:val="32"/>
          <w:szCs w:val="32"/>
        </w:rPr>
        <w:fldChar w:fldCharType="begin"/>
      </w:r>
      <w:r>
        <w:rPr>
          <w:rFonts w:ascii="Times New Roman" w:eastAsia="仿宋_GB2312"/>
          <w:smallCaps w:val="0"/>
          <w:color w:val="000000"/>
          <w:sz w:val="32"/>
          <w:szCs w:val="32"/>
        </w:rPr>
        <w:instrText xml:space="preserve"> PAGEREF _Toc79163874 \h </w:instrText>
      </w:r>
      <w:r>
        <w:rPr>
          <w:rFonts w:ascii="Times New Roman" w:eastAsia="仿宋_GB2312"/>
          <w:smallCaps w:val="0"/>
          <w:color w:val="000000"/>
          <w:sz w:val="32"/>
          <w:szCs w:val="32"/>
        </w:rPr>
        <w:fldChar w:fldCharType="separate"/>
      </w:r>
      <w:r>
        <w:rPr>
          <w:rFonts w:ascii="Times New Roman" w:eastAsia="仿宋_GB2312"/>
          <w:smallCaps w:val="0"/>
          <w:color w:val="000000"/>
          <w:sz w:val="32"/>
          <w:szCs w:val="32"/>
        </w:rPr>
        <w:t>14</w:t>
      </w:r>
      <w:r>
        <w:rPr>
          <w:rFonts w:ascii="Times New Roman" w:eastAsia="仿宋_GB2312"/>
          <w:smallCaps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（一）机关运行经费支出情况</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_Toc79163875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14</w:t>
      </w:r>
      <w:r>
        <w:rPr>
          <w:rFonts w:ascii="Times New Roman" w:eastAsia="仿宋_GB2312"/>
          <w:i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（二）政府采购支出情况</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_Toc79163876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14</w:t>
      </w:r>
      <w:r>
        <w:rPr>
          <w:rFonts w:ascii="Times New Roman" w:eastAsia="仿宋_GB2312"/>
          <w:i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（三）国有资产占有使用情况</w:t>
      </w:r>
      <w:r>
        <w:rPr>
          <w:rFonts w:ascii="Times New Roman" w:eastAsia="仿宋_GB2312"/>
          <w:i w:val="0"/>
          <w:color w:val="000000"/>
          <w:sz w:val="32"/>
          <w:szCs w:val="32"/>
        </w:rPr>
        <w:tab/>
      </w:r>
      <w:r>
        <w:rPr>
          <w:rFonts w:ascii="Times New Roman" w:eastAsia="仿宋_GB2312"/>
          <w:i w:val="0"/>
          <w:color w:val="000000"/>
          <w:sz w:val="32"/>
          <w:szCs w:val="32"/>
        </w:rPr>
        <w:fldChar w:fldCharType="begin"/>
      </w:r>
      <w:r>
        <w:rPr>
          <w:rFonts w:ascii="Times New Roman" w:eastAsia="仿宋_GB2312"/>
          <w:i w:val="0"/>
          <w:color w:val="000000"/>
          <w:sz w:val="32"/>
          <w:szCs w:val="32"/>
        </w:rPr>
        <w:instrText xml:space="preserve"> PAGEREF _Toc79163877 \h </w:instrText>
      </w:r>
      <w:r>
        <w:rPr>
          <w:rFonts w:ascii="Times New Roman" w:eastAsia="仿宋_GB2312"/>
          <w:i w:val="0"/>
          <w:color w:val="000000"/>
          <w:sz w:val="32"/>
          <w:szCs w:val="32"/>
        </w:rPr>
        <w:fldChar w:fldCharType="separate"/>
      </w:r>
      <w:r>
        <w:rPr>
          <w:rFonts w:ascii="Times New Roman" w:eastAsia="仿宋_GB2312"/>
          <w:i w:val="0"/>
          <w:color w:val="000000"/>
          <w:sz w:val="32"/>
          <w:szCs w:val="32"/>
        </w:rPr>
        <w:t>14</w:t>
      </w:r>
      <w:r>
        <w:rPr>
          <w:rFonts w:ascii="Times New Roman" w:eastAsia="仿宋_GB2312"/>
          <w:i w:val="0"/>
          <w:color w:val="000000"/>
          <w:sz w:val="32"/>
          <w:szCs w:val="32"/>
        </w:rPr>
        <w:fldChar w:fldCharType="end"/>
      </w:r>
    </w:p>
    <w:p>
      <w:pPr>
        <w:pStyle w:val="8"/>
        <w:tabs>
          <w:tab w:val="right" w:leader="dot" w:pos="8296"/>
        </w:tabs>
        <w:spacing w:line="576" w:lineRule="exact"/>
        <w:rPr>
          <w:rFonts w:ascii="Times New Roman" w:eastAsia="仿宋_GB2312"/>
          <w:i w:val="0"/>
          <w:iCs w:val="0"/>
          <w:color w:val="000000"/>
          <w:sz w:val="32"/>
          <w:szCs w:val="32"/>
        </w:rPr>
      </w:pPr>
      <w:r>
        <w:rPr>
          <w:rFonts w:ascii="Times New Roman" w:eastAsia="仿宋_GB2312"/>
          <w:i w:val="0"/>
          <w:color w:val="000000"/>
          <w:sz w:val="32"/>
          <w:szCs w:val="32"/>
        </w:rPr>
        <w:t>（四）预算绩效管理情况。</w:t>
      </w:r>
      <w:r>
        <w:rPr>
          <w:rFonts w:ascii="Times New Roman" w:eastAsia="仿宋_GB2312"/>
          <w:color w:val="000000"/>
          <w:sz w:val="32"/>
          <w:szCs w:val="32"/>
        </w:rPr>
        <w:tab/>
      </w:r>
      <w:r>
        <w:rPr>
          <w:rFonts w:ascii="Times New Roman" w:eastAsia="仿宋_GB2312"/>
          <w:color w:val="000000"/>
          <w:sz w:val="32"/>
          <w:szCs w:val="32"/>
        </w:rPr>
        <w:t>16</w:t>
      </w:r>
    </w:p>
    <w:p>
      <w:pPr>
        <w:pStyle w:val="14"/>
        <w:tabs>
          <w:tab w:val="right" w:leader="dot" w:pos="8296"/>
        </w:tabs>
        <w:spacing w:line="576" w:lineRule="exact"/>
        <w:rPr>
          <w:rFonts w:ascii="Times New Roman" w:eastAsia="仿宋_GB2312"/>
          <w:b w:val="0"/>
          <w:bCs w:val="0"/>
          <w:caps w:val="0"/>
          <w:color w:val="000000"/>
          <w:sz w:val="32"/>
          <w:szCs w:val="32"/>
        </w:rPr>
      </w:pPr>
      <w:r>
        <w:rPr>
          <w:rFonts w:ascii="Times New Roman" w:eastAsia="仿宋_GB2312"/>
          <w:b w:val="0"/>
          <w:bCs w:val="0"/>
          <w:caps w:val="0"/>
          <w:color w:val="000000"/>
          <w:kern w:val="44"/>
          <w:sz w:val="32"/>
          <w:szCs w:val="32"/>
        </w:rPr>
        <w:t>第三部分</w:t>
      </w:r>
      <w:r>
        <w:rPr>
          <w:rFonts w:ascii="Times New Roman" w:eastAsia="仿宋_GB2312"/>
          <w:b w:val="0"/>
          <w:bCs w:val="0"/>
          <w:caps w:val="0"/>
          <w:color w:val="000000"/>
          <w:sz w:val="32"/>
          <w:szCs w:val="32"/>
        </w:rPr>
        <w:t xml:space="preserve"> 名</w:t>
      </w:r>
      <w:r>
        <w:rPr>
          <w:rFonts w:ascii="Times New Roman" w:eastAsia="仿宋_GB2312"/>
          <w:b w:val="0"/>
          <w:bCs w:val="0"/>
          <w:caps w:val="0"/>
          <w:color w:val="000000"/>
          <w:kern w:val="44"/>
          <w:sz w:val="32"/>
          <w:szCs w:val="32"/>
        </w:rPr>
        <w:t>词解释</w:t>
      </w:r>
      <w:r>
        <w:rPr>
          <w:rFonts w:ascii="Times New Roman" w:eastAsia="仿宋_GB2312"/>
          <w:b w:val="0"/>
          <w:bCs w:val="0"/>
          <w:caps w:val="0"/>
          <w:color w:val="000000"/>
          <w:sz w:val="32"/>
          <w:szCs w:val="32"/>
        </w:rPr>
        <w:tab/>
      </w:r>
      <w:r>
        <w:rPr>
          <w:rFonts w:ascii="Times New Roman" w:eastAsia="仿宋_GB2312"/>
          <w:b w:val="0"/>
          <w:bCs w:val="0"/>
          <w:caps w:val="0"/>
          <w:color w:val="000000"/>
          <w:sz w:val="32"/>
          <w:szCs w:val="32"/>
        </w:rPr>
        <w:fldChar w:fldCharType="begin"/>
      </w:r>
      <w:r>
        <w:rPr>
          <w:rFonts w:ascii="Times New Roman" w:eastAsia="仿宋_GB2312"/>
          <w:b w:val="0"/>
          <w:bCs w:val="0"/>
          <w:caps w:val="0"/>
          <w:color w:val="000000"/>
          <w:sz w:val="32"/>
          <w:szCs w:val="32"/>
        </w:rPr>
        <w:instrText xml:space="preserve"> PAGEREF _Toc79163879 \h </w:instrText>
      </w:r>
      <w:r>
        <w:rPr>
          <w:rFonts w:ascii="Times New Roman" w:eastAsia="仿宋_GB2312"/>
          <w:b w:val="0"/>
          <w:bCs w:val="0"/>
          <w:caps w:val="0"/>
          <w:color w:val="000000"/>
          <w:sz w:val="32"/>
          <w:szCs w:val="32"/>
        </w:rPr>
        <w:fldChar w:fldCharType="separate"/>
      </w:r>
      <w:r>
        <w:rPr>
          <w:rFonts w:ascii="Times New Roman" w:eastAsia="仿宋_GB2312"/>
          <w:b w:val="0"/>
          <w:bCs w:val="0"/>
          <w:caps w:val="0"/>
          <w:color w:val="000000"/>
          <w:sz w:val="32"/>
          <w:szCs w:val="32"/>
        </w:rPr>
        <w:t>19</w:t>
      </w:r>
      <w:r>
        <w:rPr>
          <w:rFonts w:ascii="Times New Roman" w:eastAsia="仿宋_GB2312"/>
          <w:b w:val="0"/>
          <w:bCs w:val="0"/>
          <w:caps w:val="0"/>
          <w:color w:val="000000"/>
          <w:sz w:val="32"/>
          <w:szCs w:val="32"/>
        </w:rPr>
        <w:fldChar w:fldCharType="end"/>
      </w:r>
    </w:p>
    <w:p>
      <w:pPr>
        <w:pStyle w:val="14"/>
        <w:tabs>
          <w:tab w:val="right" w:leader="dot" w:pos="8296"/>
        </w:tabs>
        <w:spacing w:line="576" w:lineRule="exact"/>
        <w:rPr>
          <w:rFonts w:ascii="Times New Roman" w:eastAsia="仿宋_GB2312"/>
          <w:b w:val="0"/>
          <w:bCs w:val="0"/>
          <w:caps w:val="0"/>
          <w:color w:val="000000"/>
          <w:sz w:val="32"/>
          <w:szCs w:val="32"/>
        </w:rPr>
      </w:pPr>
      <w:r>
        <w:rPr>
          <w:rFonts w:ascii="Times New Roman" w:eastAsia="仿宋_GB2312"/>
          <w:b w:val="0"/>
          <w:bCs w:val="0"/>
          <w:caps w:val="0"/>
          <w:color w:val="000000"/>
          <w:sz w:val="32"/>
          <w:szCs w:val="32"/>
        </w:rPr>
        <w:t>第</w:t>
      </w:r>
      <w:r>
        <w:rPr>
          <w:rFonts w:ascii="Times New Roman" w:eastAsia="仿宋_GB2312"/>
          <w:b w:val="0"/>
          <w:bCs w:val="0"/>
          <w:caps w:val="0"/>
          <w:color w:val="000000"/>
          <w:kern w:val="44"/>
          <w:sz w:val="32"/>
          <w:szCs w:val="32"/>
        </w:rPr>
        <w:t>五部分 附表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一、收入支出决算总表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二、收入决算表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三、支出决算表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四、财政拨款收入支出决算总表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五、财政拨款支出决算明细表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六、一般公共预算财政拨款支出决算表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七、一般公共预算财政拨款支出决算明细表</w:t>
      </w:r>
      <w:r>
        <w:rPr>
          <w:rFonts w:ascii="Times New Roman" w:eastAsia="仿宋_GB2312"/>
          <w:smallCaps w:val="0"/>
          <w:color w:val="000000"/>
          <w:sz w:val="32"/>
          <w:szCs w:val="32"/>
        </w:rPr>
        <w:tab/>
      </w:r>
      <w:r>
        <w:rPr>
          <w:rFonts w:ascii="Times New Roman" w:eastAsia="仿宋_GB2312"/>
          <w:smallCaps w:val="0"/>
          <w:color w:val="000000"/>
          <w:sz w:val="32"/>
          <w:szCs w:val="32"/>
        </w:rPr>
        <w:t>八、一般公共预算财政拨款基本支出决算表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九、一般公共预算财政拨款项目支出决算表</w:t>
      </w:r>
    </w:p>
    <w:p>
      <w:pPr>
        <w:pStyle w:val="17"/>
        <w:tabs>
          <w:tab w:val="right" w:leader="dot" w:pos="8296"/>
        </w:tabs>
        <w:spacing w:line="576" w:lineRule="exact"/>
        <w:rPr>
          <w:rFonts w:ascii="Times New Roman" w:eastAsia="仿宋_GB2312"/>
          <w:smallCaps w:val="0"/>
          <w:color w:val="000000"/>
          <w:sz w:val="32"/>
          <w:szCs w:val="32"/>
        </w:rPr>
      </w:pPr>
      <w:r>
        <w:rPr>
          <w:rFonts w:ascii="Times New Roman" w:eastAsia="仿宋_GB2312"/>
          <w:smallCaps w:val="0"/>
          <w:color w:val="000000"/>
          <w:sz w:val="32"/>
          <w:szCs w:val="32"/>
        </w:rPr>
        <w:t>十、一般公共预算财政拨款“三公”经费支出决算表</w:t>
      </w:r>
    </w:p>
    <w:p>
      <w:pPr>
        <w:spacing w:line="576" w:lineRule="exact"/>
        <w:rPr>
          <w:color w:val="000000"/>
          <w:sz w:val="32"/>
          <w:szCs w:val="32"/>
        </w:rPr>
      </w:pPr>
      <w:r>
        <w:rPr>
          <w:rFonts w:eastAsia="仿宋_GB2312"/>
          <w:b/>
          <w:bCs/>
          <w:color w:val="000000"/>
          <w:sz w:val="32"/>
          <w:szCs w:val="32"/>
        </w:rPr>
        <w:fldChar w:fldCharType="end"/>
      </w:r>
    </w:p>
    <w:p>
      <w:pPr>
        <w:widowControl/>
        <w:spacing w:line="576" w:lineRule="exact"/>
        <w:ind w:firstLine="1320" w:firstLineChars="550"/>
        <w:jc w:val="left"/>
        <w:rPr>
          <w:rFonts w:eastAsia="仿宋"/>
          <w:color w:val="000000"/>
          <w:sz w:val="24"/>
        </w:rPr>
      </w:pPr>
    </w:p>
    <w:p>
      <w:pPr>
        <w:widowControl/>
        <w:spacing w:line="576" w:lineRule="exact"/>
        <w:jc w:val="left"/>
        <w:rPr>
          <w:rFonts w:eastAsia="仿宋"/>
          <w:bCs/>
          <w:color w:val="000000"/>
          <w:kern w:val="44"/>
          <w:sz w:val="24"/>
        </w:rPr>
      </w:pPr>
      <w:bookmarkStart w:id="12" w:name="_Toc15377196"/>
      <w:bookmarkStart w:id="13" w:name="_Toc15396599"/>
      <w:r>
        <w:rPr>
          <w:rFonts w:eastAsia="仿宋"/>
          <w:b/>
          <w:color w:val="000000"/>
          <w:sz w:val="24"/>
        </w:rPr>
        <w:br w:type="page"/>
      </w:r>
    </w:p>
    <w:p>
      <w:pPr>
        <w:pStyle w:val="2"/>
        <w:spacing w:line="576" w:lineRule="exact"/>
        <w:jc w:val="center"/>
        <w:rPr>
          <w:rStyle w:val="24"/>
          <w:rFonts w:eastAsia="黑体"/>
          <w:b/>
          <w:bCs w:val="0"/>
          <w:color w:val="000000"/>
        </w:rPr>
      </w:pPr>
      <w:bookmarkStart w:id="14" w:name="_Toc79163851"/>
      <w:bookmarkStart w:id="15" w:name="_Toc79163601"/>
      <w:r>
        <w:rPr>
          <w:rFonts w:eastAsia="黑体"/>
          <w:b w:val="0"/>
          <w:color w:val="000000"/>
        </w:rPr>
        <w:t xml:space="preserve">第一部分 </w:t>
      </w:r>
      <w:r>
        <w:rPr>
          <w:rStyle w:val="24"/>
          <w:rFonts w:eastAsia="黑体"/>
          <w:b w:val="0"/>
          <w:bCs w:val="0"/>
          <w:color w:val="000000"/>
        </w:rPr>
        <w:t>部门概况</w:t>
      </w:r>
      <w:bookmarkEnd w:id="12"/>
      <w:bookmarkEnd w:id="13"/>
      <w:bookmarkEnd w:id="14"/>
      <w:bookmarkEnd w:id="15"/>
    </w:p>
    <w:p>
      <w:pPr>
        <w:widowControl/>
        <w:spacing w:line="576" w:lineRule="exact"/>
        <w:jc w:val="left"/>
        <w:rPr>
          <w:rFonts w:eastAsia="黑体"/>
          <w:color w:val="000000"/>
          <w:sz w:val="32"/>
          <w:szCs w:val="32"/>
        </w:rPr>
      </w:pPr>
    </w:p>
    <w:p>
      <w:pPr>
        <w:pStyle w:val="3"/>
        <w:spacing w:line="576" w:lineRule="exact"/>
        <w:rPr>
          <w:rStyle w:val="25"/>
          <w:rFonts w:ascii="Times New Roman" w:hAnsi="Times New Roman" w:eastAsia="仿宋"/>
          <w:b w:val="0"/>
          <w:bCs w:val="0"/>
          <w:color w:val="000000"/>
        </w:rPr>
      </w:pPr>
      <w:bookmarkStart w:id="16" w:name="_Toc79163602"/>
      <w:bookmarkStart w:id="17" w:name="_Toc79163852"/>
      <w:bookmarkStart w:id="18" w:name="_Toc15377197"/>
      <w:bookmarkStart w:id="19" w:name="_Toc15396600"/>
      <w:r>
        <w:rPr>
          <w:rFonts w:ascii="Times New Roman" w:hAnsi="Times New Roman" w:eastAsia="黑体"/>
          <w:b w:val="0"/>
          <w:color w:val="000000"/>
        </w:rPr>
        <w:t>一、基</w:t>
      </w:r>
      <w:r>
        <w:rPr>
          <w:rStyle w:val="25"/>
          <w:rFonts w:ascii="Times New Roman" w:hAnsi="Times New Roman" w:eastAsia="黑体"/>
          <w:b w:val="0"/>
          <w:bCs w:val="0"/>
          <w:color w:val="000000"/>
        </w:rPr>
        <w:t>本职能及主要工作</w:t>
      </w:r>
      <w:bookmarkEnd w:id="16"/>
      <w:bookmarkEnd w:id="17"/>
      <w:bookmarkEnd w:id="18"/>
      <w:bookmarkEnd w:id="19"/>
    </w:p>
    <w:p>
      <w:pPr>
        <w:pStyle w:val="6"/>
        <w:spacing w:beforeLines="0" w:line="576" w:lineRule="exact"/>
        <w:ind w:firstLine="665" w:firstLineChars="208"/>
        <w:outlineLvl w:val="2"/>
        <w:rPr>
          <w:rFonts w:ascii="Times New Roman" w:eastAsia="仿宋"/>
          <w:bCs/>
          <w:color w:val="000000"/>
          <w:sz w:val="32"/>
          <w:szCs w:val="32"/>
        </w:rPr>
      </w:pPr>
      <w:bookmarkStart w:id="20" w:name="_Toc79163853"/>
      <w:bookmarkStart w:id="21" w:name="_Toc79163603"/>
      <w:bookmarkStart w:id="22" w:name="_Toc15378445"/>
      <w:bookmarkStart w:id="23" w:name="_Toc15377198"/>
      <w:r>
        <w:rPr>
          <w:rFonts w:ascii="Times New Roman" w:eastAsia="仿宋"/>
          <w:bCs/>
          <w:color w:val="000000"/>
          <w:sz w:val="32"/>
          <w:szCs w:val="32"/>
        </w:rPr>
        <w:t>（一）主要职能。</w:t>
      </w:r>
      <w:bookmarkEnd w:id="20"/>
      <w:bookmarkEnd w:id="21"/>
    </w:p>
    <w:bookmarkEnd w:id="22"/>
    <w:bookmarkEnd w:id="23"/>
    <w:p>
      <w:pPr>
        <w:spacing w:line="576" w:lineRule="exact"/>
        <w:ind w:firstLine="640" w:firstLineChars="200"/>
        <w:rPr>
          <w:rFonts w:eastAsia="仿宋_GB2312"/>
          <w:color w:val="000000"/>
          <w:sz w:val="32"/>
          <w:szCs w:val="32"/>
        </w:rPr>
      </w:pPr>
      <w:r>
        <w:rPr>
          <w:rFonts w:eastAsia="仿宋_GB2312"/>
          <w:color w:val="000000"/>
          <w:sz w:val="32"/>
          <w:szCs w:val="32"/>
        </w:rPr>
        <w:t>州电影服务中心承担着宣传和弘扬社会主义先进文化的重要责任，是党和政府传播精神文明的窗口和宣传阵地。主要负责全州农村公益电影放映、组织管理、影片发行、培训、督导和协助主管局搞好城市影院建设、经营管理等服务性工作。</w:t>
      </w:r>
    </w:p>
    <w:p>
      <w:pPr>
        <w:pStyle w:val="6"/>
        <w:spacing w:beforeLines="0" w:line="576" w:lineRule="exact"/>
        <w:ind w:firstLine="480" w:firstLineChars="150"/>
        <w:outlineLvl w:val="2"/>
        <w:rPr>
          <w:rFonts w:ascii="Times New Roman" w:eastAsia="仿宋"/>
          <w:bCs/>
          <w:color w:val="000000"/>
          <w:sz w:val="32"/>
          <w:szCs w:val="32"/>
        </w:rPr>
      </w:pPr>
      <w:bookmarkStart w:id="24" w:name="_Toc79163604"/>
      <w:bookmarkStart w:id="25" w:name="_Toc15377199"/>
      <w:bookmarkStart w:id="26" w:name="_Toc15378446"/>
      <w:bookmarkStart w:id="27" w:name="_Toc79163854"/>
      <w:r>
        <w:rPr>
          <w:rFonts w:ascii="Times New Roman" w:eastAsia="仿宋"/>
          <w:bCs/>
          <w:color w:val="000000"/>
          <w:sz w:val="32"/>
          <w:szCs w:val="32"/>
        </w:rPr>
        <w:t>（二）2020年重点工作完成情况。</w:t>
      </w:r>
      <w:bookmarkEnd w:id="24"/>
      <w:bookmarkEnd w:id="25"/>
      <w:bookmarkEnd w:id="26"/>
      <w:bookmarkEnd w:id="27"/>
    </w:p>
    <w:p>
      <w:pPr>
        <w:spacing w:line="576" w:lineRule="exact"/>
        <w:ind w:firstLine="627" w:firstLineChars="196"/>
        <w:contextualSpacing/>
        <w:rPr>
          <w:rFonts w:eastAsia="仿宋_GB2312"/>
          <w:color w:val="000000"/>
          <w:sz w:val="32"/>
          <w:szCs w:val="32"/>
        </w:rPr>
      </w:pPr>
      <w:r>
        <w:rPr>
          <w:rFonts w:eastAsia="仿宋_GB2312"/>
          <w:color w:val="000000"/>
          <w:sz w:val="32"/>
          <w:szCs w:val="32"/>
        </w:rPr>
        <w:t>坚持党组织对企业选人用人的领导和把关，按照“对党忠诚、勇于创新、治企有方、兴企有为、清正廉洁”20字要求，选好配强重要岗位管理者。今年以来，根据中心发展建设需要，经组织安排，调入和聘任中心主任1名，调整提拔和聘任副主任1名。按照《党章》和发展党员程序,发展积极分子1名。健全激励约束机制，按要求落实福利待遇，不断激发干事创业热情，着力打造一支有担当作有为的干部队伍。</w:t>
      </w:r>
    </w:p>
    <w:p>
      <w:pPr>
        <w:spacing w:line="576" w:lineRule="exact"/>
        <w:ind w:firstLine="640" w:firstLineChars="200"/>
        <w:contextualSpacing/>
        <w:rPr>
          <w:rFonts w:eastAsia="仿宋_GB2312"/>
          <w:color w:val="000000"/>
          <w:sz w:val="32"/>
          <w:szCs w:val="32"/>
        </w:rPr>
      </w:pPr>
      <w:r>
        <w:rPr>
          <w:rFonts w:eastAsia="仿宋_GB2312"/>
          <w:color w:val="000000"/>
          <w:sz w:val="32"/>
          <w:szCs w:val="32"/>
        </w:rPr>
        <w:t>在充分借鉴、博采众长、广征意见的基础上，制定了《阿坝州电影服务中心内部管理制度（试行）》，其中新增了《阿坝州电影服务中心绩效管理考核二次分配工作办法》《阿坝州电影服务中心八小时以外监督管理办法》《阿坝州电影服务中心单位内控制度》，做到人手一册，用制度体系保障单位规范发展。狠抓安全生产工作。层层签订《阿坝州电影服务中心安全生产工作责任书》，营造“人人讲安全、事事为安全、处处要安全”的氛围。制定《阿坝州电影服务中心安全生产工作推进方案》《汛期值班安排》，分解安全生产工作清单，严格执行汛期24小时值班制度和领导带班制度，做到任务明确，责任到人。</w:t>
      </w:r>
    </w:p>
    <w:p>
      <w:pPr>
        <w:spacing w:line="576" w:lineRule="exact"/>
        <w:ind w:firstLine="640" w:firstLineChars="200"/>
        <w:contextualSpacing/>
        <w:rPr>
          <w:rFonts w:eastAsia="仿宋_GB2312"/>
          <w:color w:val="000000"/>
          <w:sz w:val="32"/>
          <w:szCs w:val="32"/>
        </w:rPr>
      </w:pPr>
      <w:r>
        <w:rPr>
          <w:rFonts w:eastAsia="仿宋_GB2312"/>
          <w:color w:val="000000"/>
          <w:sz w:val="32"/>
          <w:szCs w:val="32"/>
        </w:rPr>
        <w:t>今年1月24日，在新冠肺炎疫情不断在全国蔓延扩大的情况下，中心高度重视，成立中心疫情防范领导小组，落实疫情防控责任，履行防疫防控职责，并即刻发布了《马尔康太平洋影城暂停营业》通告，切实保障聚众场所传染安全。8月初，在上级有关部门批准下，影城恢复营业，中心严格按照复产要求，扎实做好环境消毒、疫情宣传、物质筹备等方面工作。认真落实环境卫生整治工作，定期组织全员职工开展清洁卫生大扫除活动。制定《马尔康太平洋影城疫情应急预案》，完善影城疫情防控制度，有序组织演练，指导和规范疫情的应急处理工作，保障观影群众和员工生命安全。规范影城员工管理、影厅清洁消杀、观影群众管理等工作，严格要求员工、观影群众做好健康登记台账、体温检测、口罩佩戴等工作，实行隔排隔坐售票，切实提高防范措施，同时，每天定点定时完成清洁消杀工作，保证公共区域早中晚消毒一次，确保消杀彻底。疫情期间，在中心财务困难，无法支付影城员工2-3月工资后，中心</w:t>
      </w:r>
      <w:r>
        <w:rPr>
          <w:rFonts w:eastAsia="仿宋_GB2312"/>
          <w:color w:val="000000"/>
          <w:sz w:val="32"/>
        </w:rPr>
        <w:t>积极拟定纾困方案，向省州相关部门争取纾困资金，向州人社局征求解决意见，最终</w:t>
      </w:r>
      <w:r>
        <w:rPr>
          <w:rFonts w:eastAsia="仿宋_GB2312"/>
          <w:color w:val="000000"/>
          <w:sz w:val="32"/>
          <w:szCs w:val="32"/>
        </w:rPr>
        <w:t>中心与影城员工和谐达成劳动关系解除协议，向每位职工补偿相应工资福利，</w:t>
      </w:r>
      <w:r>
        <w:rPr>
          <w:rFonts w:eastAsia="仿宋_GB2312"/>
          <w:color w:val="000000"/>
          <w:sz w:val="32"/>
        </w:rPr>
        <w:t>以期有效保障了员工劳务权益，解决了单位面临的实际困难。</w:t>
      </w:r>
    </w:p>
    <w:p>
      <w:pPr>
        <w:spacing w:line="576" w:lineRule="exact"/>
        <w:ind w:firstLine="640" w:firstLineChars="200"/>
        <w:contextualSpacing/>
        <w:rPr>
          <w:rFonts w:eastAsia="仿宋_GB2312"/>
          <w:color w:val="000000"/>
          <w:sz w:val="32"/>
          <w:szCs w:val="32"/>
        </w:rPr>
      </w:pPr>
      <w:r>
        <w:rPr>
          <w:rFonts w:eastAsia="仿宋_GB2312"/>
          <w:color w:val="000000"/>
          <w:sz w:val="32"/>
          <w:szCs w:val="32"/>
        </w:rPr>
        <w:t>受新冠肺炎疫情影响，中心两条业务主线--农村电影和城市影院全部停止，损失惨重。直到8月才开始复工复产，面对前所未有的困难，中心全体职工知难而上，迅速推动复工复产。一是农村电影放映任务圆满完成。8月恢复放映，省电影局下达我州的16248场农村公益电影放映任务，正可谓时间短、任务重。中心积极向</w:t>
      </w:r>
      <w:r>
        <w:rPr>
          <w:rFonts w:eastAsia="仿宋_GB2312"/>
          <w:color w:val="000000"/>
          <w:sz w:val="32"/>
        </w:rPr>
        <w:t>全州各县（市）制定调整放映计划，压实工作责任，督促任务推进，经多方努力，在短短5个月时间，顺利完成放映任务。截至12月30日，阿坝农村数字电影中心下载2262部次，订购20239场，全州放映农村公益电影16897场，受益人数达49.85万人次，完成率103.99%。</w:t>
      </w:r>
      <w:r>
        <w:rPr>
          <w:rFonts w:eastAsia="仿宋_GB2312"/>
          <w:color w:val="000000"/>
          <w:sz w:val="32"/>
          <w:szCs w:val="32"/>
        </w:rPr>
        <w:t>二是影城经营逐步恢复</w:t>
      </w:r>
      <w:r>
        <w:rPr>
          <w:rFonts w:eastAsia="仿宋_GB2312"/>
          <w:b/>
          <w:color w:val="000000"/>
          <w:sz w:val="32"/>
          <w:szCs w:val="32"/>
        </w:rPr>
        <w:t>。</w:t>
      </w:r>
      <w:r>
        <w:rPr>
          <w:rFonts w:eastAsia="仿宋_GB2312"/>
          <w:color w:val="000000"/>
          <w:sz w:val="32"/>
          <w:szCs w:val="32"/>
        </w:rPr>
        <w:t>截至12月30日，马尔康太平洋影城放映场次724场，观众9420人，票房370073元，商品33885元。三是围绕主题助力主旋律</w:t>
      </w:r>
      <w:r>
        <w:rPr>
          <w:rFonts w:eastAsia="仿宋_GB2312"/>
          <w:b/>
          <w:color w:val="000000"/>
          <w:sz w:val="32"/>
          <w:szCs w:val="32"/>
        </w:rPr>
        <w:t>。</w:t>
      </w:r>
      <w:r>
        <w:rPr>
          <w:rFonts w:eastAsia="仿宋_GB2312"/>
          <w:color w:val="000000"/>
          <w:sz w:val="32"/>
          <w:szCs w:val="32"/>
        </w:rPr>
        <w:t>开展“主题聚焦”放映活动，结合脱贫攻坚，组织“脱贫攻坚、电影助力”主旋律影片放映活动，全州下载《村长相声哥》《山里的梦》《十八洞村》等优秀国产影片展映影片437部次，放映科教片1614场，故事片1027场。四是顺利完成培训工作</w:t>
      </w:r>
      <w:r>
        <w:rPr>
          <w:rFonts w:eastAsia="仿宋_GB2312"/>
          <w:b/>
          <w:color w:val="000000"/>
          <w:sz w:val="32"/>
          <w:szCs w:val="32"/>
        </w:rPr>
        <w:t>。</w:t>
      </w:r>
      <w:r>
        <w:rPr>
          <w:rFonts w:eastAsia="仿宋_GB2312"/>
          <w:color w:val="000000"/>
          <w:sz w:val="32"/>
          <w:szCs w:val="32"/>
        </w:rPr>
        <w:t>今年</w:t>
      </w:r>
      <w:r>
        <w:rPr>
          <w:rFonts w:eastAsia="仿宋_GB2312"/>
          <w:color w:val="000000"/>
          <w:sz w:val="32"/>
        </w:rPr>
        <w:t>9月28日，协同州委宣传部在郫都区举办“2020年度阿坝州农村数字电影管理与技术培训班”。组织全州各县（市）电影管理人员、放映员近40人参加</w:t>
      </w:r>
      <w:r>
        <w:rPr>
          <w:rFonts w:eastAsia="仿宋_GB2312"/>
          <w:color w:val="000000"/>
          <w:sz w:val="32"/>
          <w:szCs w:val="32"/>
        </w:rPr>
        <w:t>，不断强化农村电影放映规范管理，致力于提升农村公益电影服务质量和管理水平，为阿坝电影事业发展夯实基础，不断开创阿坝电影健康发展的新局面。</w:t>
      </w:r>
      <w:r>
        <w:rPr>
          <w:rFonts w:eastAsia="仿宋_GB2312"/>
          <w:bCs/>
          <w:color w:val="000000"/>
          <w:sz w:val="32"/>
          <w:szCs w:val="32"/>
        </w:rPr>
        <w:t>五是以</w:t>
      </w:r>
      <w:r>
        <w:rPr>
          <w:rFonts w:eastAsia="仿宋_GB2312"/>
          <w:color w:val="000000"/>
          <w:sz w:val="32"/>
          <w:szCs w:val="32"/>
        </w:rPr>
        <w:t>巡察为契机做好整改工作</w:t>
      </w:r>
      <w:r>
        <w:rPr>
          <w:rFonts w:eastAsia="仿宋_GB2312"/>
          <w:b/>
          <w:color w:val="000000"/>
          <w:sz w:val="32"/>
          <w:szCs w:val="32"/>
        </w:rPr>
        <w:t>。</w:t>
      </w:r>
      <w:r>
        <w:rPr>
          <w:rFonts w:eastAsia="仿宋_GB2312"/>
          <w:color w:val="000000"/>
          <w:sz w:val="32"/>
          <w:szCs w:val="32"/>
        </w:rPr>
        <w:t>今年12月，根据州委第九轮第一巡察组延伸巡视安排，中心结合自身实际，以习近平新时代中国特色社会主义思想为指导，以找准切入点、抓住关键点、把握根本点为主线，瞄准巡察工作关键靶位，持续发力，从严从实推进巡察工作落到实处。及时成立中心巡察整改小组，细化制定《中心巡察整改工作实施方案》，压紧压实整改责任，开展自查自纠工作，认真做好巡察整改后半篇文章。切实加强制度建设，巩固巡察整改成果。</w:t>
      </w:r>
    </w:p>
    <w:p>
      <w:pPr>
        <w:pStyle w:val="3"/>
        <w:spacing w:line="576" w:lineRule="exact"/>
        <w:rPr>
          <w:rStyle w:val="25"/>
          <w:rFonts w:ascii="Times New Roman" w:hAnsi="Times New Roman"/>
          <w:b w:val="0"/>
          <w:bCs w:val="0"/>
          <w:color w:val="000000"/>
        </w:rPr>
      </w:pPr>
      <w:bookmarkStart w:id="28" w:name="_Toc79163605"/>
      <w:bookmarkStart w:id="29" w:name="_Toc15396601"/>
      <w:bookmarkStart w:id="30" w:name="_Toc79163855"/>
      <w:bookmarkStart w:id="31" w:name="_Toc15377200"/>
      <w:r>
        <w:rPr>
          <w:rFonts w:ascii="Times New Roman" w:hAnsi="Times New Roman" w:eastAsia="黑体"/>
          <w:b w:val="0"/>
          <w:color w:val="000000"/>
        </w:rPr>
        <w:t>二、机</w:t>
      </w:r>
      <w:r>
        <w:rPr>
          <w:rStyle w:val="25"/>
          <w:rFonts w:ascii="Times New Roman" w:hAnsi="Times New Roman" w:eastAsia="黑体"/>
          <w:b w:val="0"/>
          <w:bCs w:val="0"/>
          <w:color w:val="000000"/>
        </w:rPr>
        <w:t>构设置</w:t>
      </w:r>
      <w:bookmarkEnd w:id="28"/>
      <w:bookmarkEnd w:id="29"/>
      <w:bookmarkEnd w:id="30"/>
      <w:bookmarkEnd w:id="31"/>
    </w:p>
    <w:p>
      <w:pPr>
        <w:widowControl/>
        <w:shd w:val="clear" w:color="auto" w:fill="FFFFFF"/>
        <w:spacing w:before="100" w:beforeAutospacing="1" w:after="100" w:afterAutospacing="1" w:line="576" w:lineRule="exact"/>
        <w:ind w:firstLine="640" w:firstLineChars="200"/>
        <w:jc w:val="left"/>
        <w:rPr>
          <w:color w:val="000000"/>
          <w:kern w:val="0"/>
          <w:sz w:val="32"/>
          <w:szCs w:val="32"/>
        </w:rPr>
      </w:pPr>
      <w:r>
        <w:rPr>
          <w:rFonts w:eastAsia="仿宋_GB2312"/>
          <w:color w:val="000000"/>
          <w:kern w:val="0"/>
          <w:sz w:val="32"/>
          <w:szCs w:val="32"/>
        </w:rPr>
        <w:t>四川省阿坝州电影服务中心（本级）二级单位。</w:t>
      </w:r>
      <w:r>
        <w:rPr>
          <w:rFonts w:eastAsia="仿宋_GB2312"/>
          <w:color w:val="000000"/>
          <w:sz w:val="32"/>
          <w:szCs w:val="32"/>
        </w:rPr>
        <w:t>部门机构设置和人员情况内部机构设置。2室、1中心、1院（电影院），即：办公室、财务室，农村数字电影中心，影城（影院）。</w:t>
      </w:r>
    </w:p>
    <w:p>
      <w:pPr>
        <w:widowControl/>
        <w:shd w:val="clear" w:color="auto" w:fill="FFFFFF"/>
        <w:spacing w:before="100" w:beforeAutospacing="1" w:after="100" w:afterAutospacing="1" w:line="576" w:lineRule="exact"/>
        <w:ind w:firstLine="640" w:firstLineChars="200"/>
        <w:jc w:val="left"/>
        <w:rPr>
          <w:color w:val="000000"/>
          <w:kern w:val="0"/>
          <w:sz w:val="32"/>
          <w:szCs w:val="32"/>
        </w:rPr>
      </w:pPr>
      <w:r>
        <w:rPr>
          <w:rFonts w:eastAsia="仿宋_GB2312"/>
          <w:color w:val="000000"/>
          <w:sz w:val="32"/>
          <w:szCs w:val="32"/>
        </w:rPr>
        <w:t>单位设置岗位1</w:t>
      </w:r>
      <w:r>
        <w:rPr>
          <w:rFonts w:hint="eastAsia" w:eastAsia="仿宋_GB2312"/>
          <w:color w:val="000000"/>
          <w:sz w:val="32"/>
          <w:szCs w:val="32"/>
        </w:rPr>
        <w:t>6</w:t>
      </w:r>
      <w:r>
        <w:rPr>
          <w:rFonts w:eastAsia="仿宋_GB2312"/>
          <w:color w:val="000000"/>
          <w:sz w:val="32"/>
          <w:szCs w:val="32"/>
        </w:rPr>
        <w:t>个，其中设管理岗位3个（七级岗1个，八级岗2个）；设专业技术岗位12个（五级岗1个，六级刚1个，七级岗1个，八级岗</w:t>
      </w:r>
      <w:r>
        <w:rPr>
          <w:rFonts w:hint="eastAsia" w:eastAsia="仿宋_GB2312"/>
          <w:color w:val="000000"/>
          <w:sz w:val="32"/>
          <w:szCs w:val="32"/>
        </w:rPr>
        <w:t>3</w:t>
      </w:r>
      <w:r>
        <w:rPr>
          <w:rFonts w:eastAsia="仿宋_GB2312"/>
          <w:color w:val="000000"/>
          <w:sz w:val="32"/>
          <w:szCs w:val="32"/>
        </w:rPr>
        <w:t>个，九级刚2个，十级岗2个，十一级岗2个，十二级岗2个）；设工勤技能岗位3个（三级岗2个，四级岗1个）。</w:t>
      </w:r>
    </w:p>
    <w:p>
      <w:pPr>
        <w:spacing w:line="576" w:lineRule="exact"/>
        <w:ind w:firstLine="640" w:firstLineChars="200"/>
        <w:rPr>
          <w:rFonts w:eastAsia="仿宋_GB2312"/>
          <w:color w:val="000000"/>
          <w:sz w:val="32"/>
          <w:szCs w:val="32"/>
        </w:rPr>
      </w:pPr>
      <w:r>
        <w:rPr>
          <w:rFonts w:eastAsia="仿宋_GB2312"/>
          <w:color w:val="000000"/>
          <w:sz w:val="32"/>
          <w:szCs w:val="32"/>
        </w:rPr>
        <w:t>目前，在编在岗1</w:t>
      </w:r>
      <w:r>
        <w:rPr>
          <w:rFonts w:hint="eastAsia" w:eastAsia="仿宋_GB2312"/>
          <w:color w:val="000000"/>
          <w:sz w:val="32"/>
          <w:szCs w:val="32"/>
        </w:rPr>
        <w:t>4</w:t>
      </w:r>
      <w:r>
        <w:rPr>
          <w:rFonts w:eastAsia="仿宋_GB2312"/>
          <w:color w:val="000000"/>
          <w:sz w:val="32"/>
          <w:szCs w:val="32"/>
        </w:rPr>
        <w:t>人，其中管理岗位3人，专业技术岗位12人，工勤技能岗位1人。</w:t>
      </w:r>
    </w:p>
    <w:p>
      <w:pPr>
        <w:pStyle w:val="2"/>
        <w:spacing w:line="576" w:lineRule="exact"/>
        <w:ind w:right="440"/>
        <w:jc w:val="right"/>
        <w:rPr>
          <w:color w:val="000000"/>
        </w:rPr>
      </w:pPr>
      <w:bookmarkStart w:id="32" w:name="_Toc79163609"/>
      <w:bookmarkStart w:id="33" w:name="_Toc15377204"/>
      <w:bookmarkStart w:id="34" w:name="_Toc79163859"/>
      <w:bookmarkStart w:id="35" w:name="_Toc15396602"/>
      <w:r>
        <w:rPr>
          <w:rFonts w:eastAsia="黑体"/>
          <w:b w:val="0"/>
          <w:color w:val="000000"/>
        </w:rPr>
        <w:t>第二部分</w:t>
      </w:r>
      <w:r>
        <w:rPr>
          <w:rFonts w:eastAsia="黑体"/>
          <w:color w:val="000000"/>
        </w:rPr>
        <w:t xml:space="preserve"> </w:t>
      </w:r>
      <w:r>
        <w:rPr>
          <w:rStyle w:val="24"/>
          <w:rFonts w:eastAsia="黑体"/>
          <w:b w:val="0"/>
          <w:bCs w:val="0"/>
          <w:color w:val="000000"/>
        </w:rPr>
        <w:t>2020年度部门决算情况说明</w:t>
      </w:r>
      <w:bookmarkEnd w:id="32"/>
      <w:bookmarkEnd w:id="33"/>
      <w:bookmarkEnd w:id="34"/>
      <w:bookmarkEnd w:id="35"/>
    </w:p>
    <w:p>
      <w:pPr>
        <w:pStyle w:val="30"/>
        <w:numPr>
          <w:ilvl w:val="0"/>
          <w:numId w:val="1"/>
        </w:numPr>
        <w:spacing w:line="576" w:lineRule="exact"/>
        <w:ind w:firstLineChars="0"/>
        <w:outlineLvl w:val="1"/>
        <w:rPr>
          <w:rStyle w:val="25"/>
          <w:rFonts w:ascii="Times New Roman" w:hAnsi="Times New Roman" w:eastAsia="黑体"/>
          <w:b w:val="0"/>
          <w:color w:val="000000"/>
        </w:rPr>
      </w:pPr>
      <w:bookmarkStart w:id="36" w:name="_Toc15396603"/>
      <w:bookmarkStart w:id="37" w:name="_Toc15377205"/>
      <w:bookmarkStart w:id="38" w:name="_Toc79163860"/>
      <w:bookmarkStart w:id="39" w:name="_Toc79163610"/>
      <w:r>
        <w:rPr>
          <w:rFonts w:eastAsia="黑体"/>
          <w:color w:val="000000"/>
          <w:sz w:val="32"/>
          <w:szCs w:val="32"/>
        </w:rPr>
        <w:t>收</w:t>
      </w:r>
      <w:r>
        <w:rPr>
          <w:rStyle w:val="25"/>
          <w:rFonts w:ascii="Times New Roman" w:hAnsi="Times New Roman" w:eastAsia="黑体"/>
          <w:b w:val="0"/>
          <w:color w:val="000000"/>
        </w:rPr>
        <w:t>入支出决算总体情况说明</w:t>
      </w:r>
      <w:bookmarkEnd w:id="36"/>
      <w:bookmarkEnd w:id="37"/>
      <w:bookmarkEnd w:id="38"/>
      <w:bookmarkEnd w:id="39"/>
    </w:p>
    <w:p>
      <w:pPr>
        <w:spacing w:line="576" w:lineRule="exact"/>
        <w:ind w:firstLine="640" w:firstLineChars="200"/>
        <w:rPr>
          <w:color w:val="000000"/>
        </w:rPr>
      </w:pPr>
      <w:r>
        <w:rPr>
          <w:rFonts w:eastAsia="仿宋_GB2312"/>
          <w:color w:val="000000"/>
          <w:sz w:val="32"/>
          <w:szCs w:val="32"/>
        </w:rPr>
        <w:t>2020年度收、支总计365.3</w:t>
      </w:r>
      <w:r>
        <w:rPr>
          <w:rFonts w:hint="eastAsia" w:eastAsia="仿宋_GB2312"/>
          <w:color w:val="000000"/>
          <w:sz w:val="32"/>
          <w:szCs w:val="32"/>
        </w:rPr>
        <w:t>1</w:t>
      </w:r>
      <w:r>
        <w:rPr>
          <w:rFonts w:eastAsia="仿宋_GB2312"/>
          <w:color w:val="000000"/>
          <w:sz w:val="32"/>
          <w:szCs w:val="32"/>
        </w:rPr>
        <w:t>万元。与2019年相比，收、支总计各减少92.56万元，下降</w:t>
      </w:r>
      <w:r>
        <w:rPr>
          <w:rFonts w:hint="eastAsia" w:eastAsia="仿宋_GB2312"/>
          <w:color w:val="000000"/>
          <w:sz w:val="32"/>
          <w:szCs w:val="32"/>
        </w:rPr>
        <w:t>20</w:t>
      </w:r>
      <w:r>
        <w:rPr>
          <w:rFonts w:eastAsia="仿宋_GB2312"/>
          <w:color w:val="000000"/>
          <w:sz w:val="32"/>
          <w:szCs w:val="32"/>
        </w:rPr>
        <w:t>%。主要变动原因是</w:t>
      </w:r>
      <w:r>
        <w:rPr>
          <w:rFonts w:eastAsia="仿宋_GB2312"/>
          <w:color w:val="000000"/>
          <w:kern w:val="0"/>
          <w:sz w:val="32"/>
          <w:szCs w:val="32"/>
        </w:rPr>
        <w:t>原因是疫情影城运行减少,项目支付减少</w:t>
      </w:r>
      <w:r>
        <w:rPr>
          <w:color w:val="000000"/>
        </w:rPr>
        <w:t>．</w:t>
      </w:r>
      <w:r>
        <w:rPr>
          <w:color w:val="000000"/>
        </w:rPr>
        <w:tab/>
      </w:r>
    </w:p>
    <w:p>
      <w:pPr>
        <w:pStyle w:val="30"/>
        <w:spacing w:line="576" w:lineRule="exact"/>
        <w:ind w:firstLine="480" w:firstLineChars="150"/>
        <w:outlineLvl w:val="1"/>
        <w:rPr>
          <w:rStyle w:val="25"/>
          <w:rFonts w:ascii="Times New Roman" w:hAnsi="Times New Roman" w:eastAsia="黑体"/>
          <w:b w:val="0"/>
          <w:color w:val="000000"/>
        </w:rPr>
      </w:pPr>
      <w:bookmarkStart w:id="40" w:name="_Toc15396604"/>
      <w:bookmarkStart w:id="41" w:name="_Toc15377206"/>
      <w:bookmarkStart w:id="42" w:name="_Toc79163611"/>
      <w:bookmarkStart w:id="43" w:name="_Toc79163861"/>
      <w:r>
        <w:rPr>
          <w:rFonts w:eastAsia="仿宋_GB2312"/>
          <w:color w:val="000000"/>
          <w:sz w:val="32"/>
          <w:szCs w:val="32"/>
        </w:rPr>
        <w:drawing>
          <wp:anchor distT="0" distB="0" distL="114300" distR="114300" simplePos="0" relativeHeight="251659264" behindDoc="0" locked="0" layoutInCell="1" allowOverlap="1">
            <wp:simplePos x="0" y="0"/>
            <wp:positionH relativeFrom="column">
              <wp:posOffset>410845</wp:posOffset>
            </wp:positionH>
            <wp:positionV relativeFrom="paragraph">
              <wp:posOffset>178435</wp:posOffset>
            </wp:positionV>
            <wp:extent cx="3394710" cy="1609725"/>
            <wp:effectExtent l="0" t="0" r="0" b="0"/>
            <wp:wrapTopAndBottom/>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eastAsia="黑体"/>
          <w:color w:val="000000"/>
          <w:sz w:val="32"/>
          <w:szCs w:val="32"/>
        </w:rPr>
        <w:t>二</w:t>
      </w:r>
      <w:r>
        <w:rPr>
          <w:rFonts w:hint="eastAsia" w:eastAsia="黑体"/>
          <w:color w:val="000000"/>
          <w:sz w:val="32"/>
          <w:szCs w:val="32"/>
        </w:rPr>
        <w:t>、</w:t>
      </w:r>
      <w:r>
        <w:rPr>
          <w:rFonts w:eastAsia="黑体"/>
          <w:color w:val="000000"/>
          <w:sz w:val="32"/>
          <w:szCs w:val="32"/>
        </w:rPr>
        <w:t>收</w:t>
      </w:r>
      <w:r>
        <w:rPr>
          <w:rStyle w:val="25"/>
          <w:rFonts w:ascii="Times New Roman" w:hAnsi="Times New Roman" w:eastAsia="黑体"/>
          <w:b w:val="0"/>
          <w:color w:val="000000"/>
        </w:rPr>
        <w:t>入决算情况说明</w:t>
      </w:r>
      <w:bookmarkEnd w:id="40"/>
      <w:bookmarkEnd w:id="41"/>
      <w:bookmarkEnd w:id="42"/>
      <w:bookmarkEnd w:id="43"/>
    </w:p>
    <w:p>
      <w:pPr>
        <w:spacing w:line="576" w:lineRule="exact"/>
        <w:ind w:firstLine="640" w:firstLineChars="200"/>
        <w:rPr>
          <w:rFonts w:eastAsia="仿宋_GB2312"/>
          <w:color w:val="000000"/>
          <w:sz w:val="32"/>
          <w:szCs w:val="32"/>
        </w:rPr>
      </w:pPr>
      <w:r>
        <w:rPr>
          <w:rFonts w:eastAsia="仿宋_GB2312"/>
          <w:color w:val="000000"/>
          <w:sz w:val="32"/>
          <w:szCs w:val="32"/>
        </w:rPr>
        <w:t>2020年本年收入合计365.31万元，其中：一般公共预算财政拨款收入312.6万元，占85%；政府性基金预算财政拨款收入0万元，占0%；上级补助收入0万元，占0%；事业收入0万元，占0%；经营收入0万元，占0%；附属单位上缴收入0万元，占0%；其他收入0万元，占0%。</w:t>
      </w:r>
    </w:p>
    <w:p>
      <w:pPr>
        <w:spacing w:line="576" w:lineRule="exact"/>
        <w:ind w:firstLine="420" w:firstLineChars="200"/>
        <w:rPr>
          <w:rFonts w:eastAsia="仿宋"/>
          <w:color w:val="000000"/>
          <w:sz w:val="32"/>
          <w:szCs w:val="32"/>
        </w:rPr>
      </w:pPr>
      <w:r>
        <w:rPr>
          <w:color w:val="000000"/>
        </w:rPr>
        <w:drawing>
          <wp:anchor distT="0" distB="0" distL="114300" distR="114300" simplePos="0" relativeHeight="251660288" behindDoc="0" locked="0" layoutInCell="1" allowOverlap="1">
            <wp:simplePos x="0" y="0"/>
            <wp:positionH relativeFrom="column">
              <wp:posOffset>1099820</wp:posOffset>
            </wp:positionH>
            <wp:positionV relativeFrom="paragraph">
              <wp:posOffset>260350</wp:posOffset>
            </wp:positionV>
            <wp:extent cx="3575050" cy="1962150"/>
            <wp:effectExtent l="19050" t="0" r="25400" b="0"/>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76" w:lineRule="exact"/>
        <w:ind w:firstLine="640" w:firstLineChars="200"/>
        <w:rPr>
          <w:rFonts w:eastAsia="仿宋_GB2312"/>
          <w:color w:val="000000"/>
          <w:sz w:val="32"/>
          <w:szCs w:val="32"/>
        </w:rPr>
      </w:pPr>
      <w:r>
        <w:rPr>
          <w:rFonts w:eastAsia="仿宋"/>
          <w:color w:val="000000"/>
          <w:sz w:val="32"/>
          <w:szCs w:val="32"/>
        </w:rPr>
        <w:t>（图2：收入决算结构图）（饼状图）</w:t>
      </w:r>
    </w:p>
    <w:p>
      <w:pPr>
        <w:pStyle w:val="30"/>
        <w:numPr>
          <w:ilvl w:val="0"/>
          <w:numId w:val="1"/>
        </w:numPr>
        <w:spacing w:line="576" w:lineRule="exact"/>
        <w:ind w:firstLineChars="0"/>
        <w:outlineLvl w:val="1"/>
        <w:rPr>
          <w:rStyle w:val="25"/>
          <w:rFonts w:ascii="Times New Roman" w:hAnsi="Times New Roman" w:eastAsia="黑体"/>
          <w:b w:val="0"/>
          <w:color w:val="000000"/>
        </w:rPr>
      </w:pPr>
      <w:bookmarkStart w:id="44" w:name="_Toc79163612"/>
      <w:bookmarkStart w:id="45" w:name="_Toc79163862"/>
      <w:bookmarkStart w:id="46" w:name="_Toc15377207"/>
      <w:bookmarkStart w:id="47" w:name="_Toc15396605"/>
      <w:r>
        <w:rPr>
          <w:rFonts w:eastAsia="黑体"/>
          <w:color w:val="000000"/>
          <w:sz w:val="32"/>
          <w:szCs w:val="32"/>
        </w:rPr>
        <w:t>支</w:t>
      </w:r>
      <w:r>
        <w:rPr>
          <w:rStyle w:val="25"/>
          <w:rFonts w:ascii="Times New Roman" w:hAnsi="Times New Roman" w:eastAsia="黑体"/>
          <w:b w:val="0"/>
          <w:color w:val="000000"/>
        </w:rPr>
        <w:t>出决算情况说明</w:t>
      </w:r>
      <w:bookmarkEnd w:id="44"/>
      <w:bookmarkEnd w:id="45"/>
      <w:bookmarkEnd w:id="46"/>
      <w:bookmarkEnd w:id="47"/>
    </w:p>
    <w:p>
      <w:pPr>
        <w:spacing w:line="576" w:lineRule="exact"/>
        <w:ind w:firstLine="640" w:firstLineChars="200"/>
        <w:rPr>
          <w:rFonts w:eastAsia="仿宋_GB2312"/>
          <w:color w:val="000000"/>
          <w:sz w:val="32"/>
          <w:szCs w:val="32"/>
        </w:rPr>
      </w:pPr>
      <w:r>
        <w:rPr>
          <w:rFonts w:eastAsia="仿宋_GB2312"/>
          <w:color w:val="000000"/>
          <w:sz w:val="32"/>
          <w:szCs w:val="32"/>
        </w:rPr>
        <w:t>2020年本年支出合计345.74万元，其中：基本支出273.24万元，占79.03%；项目支出72.5万元，占20.97%；上缴上级支出0万元，占0%；经营支出0万元，占０%；对附属单位补助支出０万元，占０%。</w:t>
      </w:r>
    </w:p>
    <w:p>
      <w:pPr>
        <w:spacing w:line="576" w:lineRule="exact"/>
        <w:rPr>
          <w:rFonts w:eastAsia="仿宋"/>
          <w:color w:val="000000"/>
          <w:sz w:val="32"/>
          <w:szCs w:val="32"/>
          <w:shd w:val="pct10" w:color="auto" w:fill="FFFFFF"/>
        </w:rPr>
      </w:pPr>
      <w:r>
        <w:rPr>
          <w:rFonts w:eastAsia="仿宋"/>
          <w:color w:val="000000"/>
          <w:sz w:val="32"/>
          <w:szCs w:val="32"/>
          <w:shd w:val="pct10" w:color="auto" w:fill="FFFFFF"/>
        </w:rPr>
        <w:drawing>
          <wp:anchor distT="0" distB="0" distL="114300" distR="114300" simplePos="0" relativeHeight="251661312" behindDoc="0" locked="0" layoutInCell="1" allowOverlap="1">
            <wp:simplePos x="0" y="0"/>
            <wp:positionH relativeFrom="column">
              <wp:posOffset>544195</wp:posOffset>
            </wp:positionH>
            <wp:positionV relativeFrom="paragraph">
              <wp:posOffset>261620</wp:posOffset>
            </wp:positionV>
            <wp:extent cx="3480435" cy="2762250"/>
            <wp:effectExtent l="0" t="0" r="0" b="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76" w:lineRule="exact"/>
        <w:ind w:firstLine="640" w:firstLineChars="200"/>
        <w:rPr>
          <w:rFonts w:eastAsia="仿宋"/>
          <w:color w:val="000000"/>
          <w:sz w:val="32"/>
          <w:szCs w:val="32"/>
        </w:rPr>
      </w:pPr>
    </w:p>
    <w:p>
      <w:pPr>
        <w:spacing w:line="576" w:lineRule="exact"/>
        <w:ind w:firstLine="640" w:firstLineChars="200"/>
        <w:rPr>
          <w:rFonts w:eastAsia="仿宋_GB2312"/>
          <w:color w:val="000000"/>
          <w:sz w:val="32"/>
          <w:szCs w:val="32"/>
        </w:rPr>
      </w:pPr>
      <w:r>
        <w:rPr>
          <w:rFonts w:eastAsia="仿宋"/>
          <w:color w:val="000000"/>
          <w:sz w:val="32"/>
          <w:szCs w:val="32"/>
        </w:rPr>
        <w:t>（图3：支出决算结构图）（饼状图）</w:t>
      </w:r>
    </w:p>
    <w:p>
      <w:pPr>
        <w:numPr>
          <w:ilvl w:val="0"/>
          <w:numId w:val="1"/>
        </w:numPr>
        <w:spacing w:line="576" w:lineRule="exact"/>
        <w:outlineLvl w:val="1"/>
        <w:rPr>
          <w:rStyle w:val="25"/>
          <w:rFonts w:ascii="Times New Roman" w:hAnsi="Times New Roman" w:eastAsia="黑体"/>
          <w:b w:val="0"/>
          <w:color w:val="000000"/>
        </w:rPr>
      </w:pPr>
      <w:bookmarkStart w:id="48" w:name="_Toc15377208"/>
      <w:bookmarkStart w:id="49" w:name="_Toc79163863"/>
      <w:bookmarkStart w:id="50" w:name="_Toc15396606"/>
      <w:bookmarkStart w:id="51" w:name="_Toc79163613"/>
      <w:r>
        <w:rPr>
          <w:rFonts w:eastAsia="黑体"/>
          <w:color w:val="000000"/>
          <w:sz w:val="32"/>
          <w:szCs w:val="32"/>
        </w:rPr>
        <w:t>财</w:t>
      </w:r>
      <w:r>
        <w:rPr>
          <w:rStyle w:val="25"/>
          <w:rFonts w:ascii="Times New Roman" w:hAnsi="Times New Roman" w:eastAsia="黑体"/>
          <w:b w:val="0"/>
          <w:color w:val="000000"/>
        </w:rPr>
        <w:t>政拨款收入支出决算总体情况说明</w:t>
      </w:r>
      <w:bookmarkEnd w:id="48"/>
      <w:bookmarkEnd w:id="49"/>
      <w:bookmarkEnd w:id="50"/>
      <w:bookmarkEnd w:id="51"/>
    </w:p>
    <w:p>
      <w:pPr>
        <w:spacing w:line="576" w:lineRule="exact"/>
        <w:ind w:firstLine="640" w:firstLineChars="200"/>
        <w:outlineLvl w:val="1"/>
        <w:rPr>
          <w:rFonts w:eastAsia="仿宋"/>
          <w:color w:val="000000"/>
          <w:sz w:val="32"/>
          <w:szCs w:val="32"/>
        </w:rPr>
      </w:pPr>
      <w:r>
        <w:rPr>
          <w:rFonts w:eastAsia="仿宋_GB2312"/>
          <w:color w:val="000000"/>
          <w:sz w:val="32"/>
          <w:szCs w:val="32"/>
        </w:rPr>
        <w:t>2020年财政拨款收、支总计365.31万元。与2019年相比，财政拨款收、支总计各减少</w:t>
      </w:r>
      <w:r>
        <w:rPr>
          <w:rFonts w:hint="eastAsia" w:eastAsia="仿宋_GB2312"/>
          <w:color w:val="000000"/>
          <w:sz w:val="32"/>
          <w:szCs w:val="32"/>
        </w:rPr>
        <w:t>92.58</w:t>
      </w:r>
      <w:r>
        <w:rPr>
          <w:rFonts w:eastAsia="仿宋_GB2312"/>
          <w:color w:val="000000"/>
          <w:sz w:val="32"/>
          <w:szCs w:val="32"/>
        </w:rPr>
        <w:t>万元，下降</w:t>
      </w:r>
      <w:r>
        <w:rPr>
          <w:rFonts w:hint="eastAsia" w:eastAsia="仿宋_GB2312"/>
          <w:color w:val="000000"/>
          <w:sz w:val="32"/>
          <w:szCs w:val="32"/>
        </w:rPr>
        <w:t>20</w:t>
      </w:r>
      <w:r>
        <w:rPr>
          <w:rFonts w:eastAsia="仿宋_GB2312"/>
          <w:color w:val="000000"/>
          <w:sz w:val="32"/>
          <w:szCs w:val="32"/>
        </w:rPr>
        <w:t>%。主要变动原因是</w:t>
      </w:r>
      <w:r>
        <w:rPr>
          <w:rFonts w:eastAsia="仿宋_GB2312"/>
          <w:color w:val="000000"/>
          <w:spacing w:val="-2"/>
          <w:kern w:val="0"/>
          <w:sz w:val="32"/>
          <w:szCs w:val="32"/>
        </w:rPr>
        <w:t>受疫情影响，营业收入减少。</w:t>
      </w:r>
    </w:p>
    <w:p>
      <w:pPr>
        <w:spacing w:line="576" w:lineRule="exact"/>
        <w:ind w:firstLine="640" w:firstLineChars="200"/>
        <w:rPr>
          <w:rFonts w:eastAsia="仿宋_GB2312"/>
          <w:color w:val="000000"/>
          <w:sz w:val="32"/>
          <w:szCs w:val="32"/>
        </w:rPr>
      </w:pPr>
      <w:r>
        <w:rPr>
          <w:rFonts w:eastAsia="仿宋_GB2312"/>
          <w:color w:val="000000"/>
          <w:sz w:val="32"/>
          <w:szCs w:val="32"/>
        </w:rPr>
        <w:drawing>
          <wp:anchor distT="0" distB="0" distL="114300" distR="114300" simplePos="0" relativeHeight="251662336" behindDoc="0" locked="0" layoutInCell="1" allowOverlap="1">
            <wp:simplePos x="0" y="0"/>
            <wp:positionH relativeFrom="column">
              <wp:posOffset>680720</wp:posOffset>
            </wp:positionH>
            <wp:positionV relativeFrom="page">
              <wp:posOffset>2420620</wp:posOffset>
            </wp:positionV>
            <wp:extent cx="3338195" cy="3152775"/>
            <wp:effectExtent l="0" t="0" r="0" b="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6" w:lineRule="exact"/>
        <w:ind w:firstLine="640" w:firstLineChars="200"/>
        <w:rPr>
          <w:rFonts w:eastAsia="仿宋_GB2312"/>
          <w:color w:val="000000"/>
          <w:sz w:val="32"/>
          <w:szCs w:val="32"/>
        </w:rPr>
      </w:pPr>
    </w:p>
    <w:p>
      <w:pPr>
        <w:spacing w:line="576" w:lineRule="exact"/>
        <w:ind w:firstLine="640" w:firstLineChars="200"/>
        <w:rPr>
          <w:rFonts w:eastAsia="仿宋_GB2312"/>
          <w:color w:val="000000"/>
          <w:sz w:val="32"/>
          <w:szCs w:val="32"/>
        </w:rPr>
      </w:pPr>
    </w:p>
    <w:p>
      <w:pPr>
        <w:spacing w:line="576" w:lineRule="exact"/>
        <w:ind w:firstLine="640" w:firstLineChars="200"/>
        <w:rPr>
          <w:rFonts w:eastAsia="仿宋_GB2312"/>
          <w:color w:val="000000"/>
          <w:sz w:val="32"/>
          <w:szCs w:val="32"/>
        </w:rPr>
      </w:pPr>
    </w:p>
    <w:p>
      <w:pPr>
        <w:spacing w:line="576" w:lineRule="exact"/>
        <w:rPr>
          <w:rFonts w:eastAsia="仿宋"/>
          <w:b/>
          <w:color w:val="000000"/>
          <w:sz w:val="32"/>
          <w:szCs w:val="32"/>
        </w:rPr>
      </w:pPr>
      <w:r>
        <w:rPr>
          <w:rFonts w:eastAsia="仿宋_GB2312"/>
          <w:color w:val="000000"/>
          <w:sz w:val="32"/>
          <w:szCs w:val="32"/>
        </w:rPr>
        <w:t>（图4：财政拨款收、支决算总计变动情况）（柱状图）</w:t>
      </w:r>
    </w:p>
    <w:p>
      <w:pPr>
        <w:spacing w:line="576" w:lineRule="exact"/>
        <w:ind w:firstLine="640" w:firstLineChars="200"/>
        <w:outlineLvl w:val="1"/>
        <w:rPr>
          <w:rStyle w:val="25"/>
          <w:rFonts w:ascii="Times New Roman" w:hAnsi="Times New Roman" w:eastAsia="黑体"/>
          <w:b w:val="0"/>
          <w:color w:val="000000"/>
        </w:rPr>
      </w:pPr>
      <w:bookmarkStart w:id="52" w:name="_Toc15377209"/>
      <w:bookmarkStart w:id="53" w:name="_Toc79163614"/>
      <w:bookmarkStart w:id="54" w:name="_Toc79163864"/>
      <w:bookmarkStart w:id="55" w:name="_Toc15396607"/>
      <w:r>
        <w:rPr>
          <w:rFonts w:eastAsia="黑体"/>
          <w:color w:val="000000"/>
          <w:sz w:val="32"/>
          <w:szCs w:val="32"/>
        </w:rPr>
        <w:t>五、</w:t>
      </w:r>
      <w:r>
        <w:rPr>
          <w:rFonts w:eastAsia="黑体"/>
          <w:b/>
          <w:color w:val="000000"/>
          <w:sz w:val="32"/>
          <w:szCs w:val="32"/>
        </w:rPr>
        <w:t>一</w:t>
      </w:r>
      <w:r>
        <w:rPr>
          <w:rStyle w:val="25"/>
          <w:rFonts w:ascii="Times New Roman" w:hAnsi="Times New Roman" w:eastAsia="黑体"/>
          <w:b w:val="0"/>
          <w:color w:val="000000"/>
        </w:rPr>
        <w:t>般公共预算财政拨款支出决算情况说明</w:t>
      </w:r>
      <w:bookmarkEnd w:id="52"/>
      <w:bookmarkEnd w:id="53"/>
      <w:bookmarkEnd w:id="54"/>
      <w:bookmarkEnd w:id="55"/>
    </w:p>
    <w:p>
      <w:pPr>
        <w:spacing w:line="576" w:lineRule="exact"/>
        <w:ind w:firstLine="643" w:firstLineChars="200"/>
        <w:outlineLvl w:val="2"/>
        <w:rPr>
          <w:rFonts w:eastAsia="仿宋"/>
          <w:b/>
          <w:color w:val="000000"/>
          <w:sz w:val="32"/>
          <w:szCs w:val="32"/>
        </w:rPr>
      </w:pPr>
      <w:bookmarkStart w:id="56" w:name="_Toc79163615"/>
      <w:bookmarkStart w:id="57" w:name="_Toc15377210"/>
      <w:bookmarkStart w:id="58" w:name="_Toc79163865"/>
      <w:r>
        <w:rPr>
          <w:rFonts w:eastAsia="仿宋"/>
          <w:b/>
          <w:color w:val="000000"/>
          <w:sz w:val="32"/>
          <w:szCs w:val="32"/>
        </w:rPr>
        <w:t>（一）一般公共预算财政拨款支出决算总体情况</w:t>
      </w:r>
      <w:bookmarkEnd w:id="56"/>
      <w:bookmarkEnd w:id="57"/>
      <w:bookmarkEnd w:id="58"/>
    </w:p>
    <w:p>
      <w:pPr>
        <w:widowControl/>
        <w:spacing w:line="576" w:lineRule="exact"/>
        <w:ind w:firstLine="472"/>
        <w:rPr>
          <w:rFonts w:eastAsia="仿宋_GB2312"/>
          <w:color w:val="000000"/>
          <w:spacing w:val="-2"/>
          <w:kern w:val="0"/>
          <w:sz w:val="32"/>
          <w:szCs w:val="32"/>
        </w:rPr>
      </w:pPr>
      <w:r>
        <w:rPr>
          <w:rFonts w:eastAsia="仿宋_GB2312"/>
          <w:color w:val="000000"/>
          <w:sz w:val="32"/>
          <w:szCs w:val="32"/>
        </w:rPr>
        <w:t>2020年一般公共预算财政拨款支出3</w:t>
      </w:r>
      <w:r>
        <w:rPr>
          <w:rFonts w:hint="eastAsia" w:eastAsia="仿宋_GB2312"/>
          <w:color w:val="000000"/>
          <w:sz w:val="32"/>
          <w:szCs w:val="32"/>
        </w:rPr>
        <w:t>45.74</w:t>
      </w:r>
      <w:r>
        <w:rPr>
          <w:rFonts w:eastAsia="仿宋_GB2312"/>
          <w:color w:val="000000"/>
          <w:sz w:val="32"/>
          <w:szCs w:val="32"/>
        </w:rPr>
        <w:t>万元，占本年支出合计的85%。与2019年相比，一般公共预算财政拨款减少137.29万元，下降</w:t>
      </w:r>
      <w:r>
        <w:rPr>
          <w:rFonts w:hint="eastAsia" w:eastAsia="仿宋_GB2312"/>
          <w:color w:val="000000"/>
          <w:sz w:val="32"/>
          <w:szCs w:val="32"/>
        </w:rPr>
        <w:t>23</w:t>
      </w:r>
      <w:r>
        <w:rPr>
          <w:rFonts w:eastAsia="仿宋_GB2312"/>
          <w:color w:val="000000"/>
          <w:sz w:val="32"/>
          <w:szCs w:val="32"/>
        </w:rPr>
        <w:t>%。主要变动原因是</w:t>
      </w:r>
      <w:r>
        <w:rPr>
          <w:rFonts w:eastAsia="仿宋_GB2312"/>
          <w:color w:val="000000"/>
          <w:spacing w:val="-2"/>
          <w:kern w:val="0"/>
          <w:sz w:val="32"/>
          <w:szCs w:val="32"/>
        </w:rPr>
        <w:t>受疫情影响，营业收入减少。</w:t>
      </w:r>
    </w:p>
    <w:p>
      <w:pPr>
        <w:spacing w:line="576" w:lineRule="exact"/>
        <w:ind w:firstLine="420" w:firstLineChars="200"/>
        <w:rPr>
          <w:color w:val="000000"/>
        </w:rPr>
      </w:pPr>
    </w:p>
    <w:p>
      <w:pPr>
        <w:spacing w:line="576" w:lineRule="exact"/>
        <w:ind w:firstLine="640" w:firstLineChars="200"/>
        <w:rPr>
          <w:rFonts w:eastAsia="仿宋"/>
          <w:color w:val="000000"/>
          <w:sz w:val="32"/>
          <w:szCs w:val="32"/>
        </w:rPr>
      </w:pPr>
    </w:p>
    <w:p>
      <w:pPr>
        <w:spacing w:line="576" w:lineRule="exact"/>
        <w:ind w:firstLine="420" w:firstLineChars="200"/>
        <w:rPr>
          <w:rFonts w:eastAsia="仿宋"/>
          <w:color w:val="000000"/>
          <w:sz w:val="32"/>
          <w:szCs w:val="32"/>
        </w:rPr>
      </w:pPr>
      <w:r>
        <w:rPr>
          <w:color w:val="000000"/>
        </w:rPr>
        <w:drawing>
          <wp:anchor distT="0" distB="0" distL="114300" distR="114300" simplePos="0" relativeHeight="251662336" behindDoc="0" locked="0" layoutInCell="1" allowOverlap="1">
            <wp:simplePos x="0" y="0"/>
            <wp:positionH relativeFrom="column">
              <wp:posOffset>547370</wp:posOffset>
            </wp:positionH>
            <wp:positionV relativeFrom="paragraph">
              <wp:posOffset>-102870</wp:posOffset>
            </wp:positionV>
            <wp:extent cx="3766185" cy="1877060"/>
            <wp:effectExtent l="0" t="0" r="0" b="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eastAsia="仿宋"/>
          <w:color w:val="000000"/>
          <w:sz w:val="32"/>
          <w:szCs w:val="32"/>
        </w:rPr>
        <w:t>（图5：一般公共预算财政拨款支出决算变动情况）（柱状图）</w:t>
      </w:r>
    </w:p>
    <w:p>
      <w:pPr>
        <w:spacing w:line="576" w:lineRule="exact"/>
        <w:ind w:firstLine="643" w:firstLineChars="200"/>
        <w:outlineLvl w:val="2"/>
        <w:rPr>
          <w:rFonts w:eastAsia="仿宋"/>
          <w:b/>
          <w:color w:val="000000"/>
          <w:sz w:val="32"/>
          <w:szCs w:val="32"/>
        </w:rPr>
      </w:pPr>
      <w:bookmarkStart w:id="59" w:name="_Toc79163866"/>
      <w:bookmarkStart w:id="60" w:name="_Toc79163616"/>
      <w:bookmarkStart w:id="61" w:name="_Toc15377211"/>
      <w:r>
        <w:rPr>
          <w:rFonts w:eastAsia="仿宋"/>
          <w:b/>
          <w:color w:val="000000"/>
          <w:sz w:val="32"/>
          <w:szCs w:val="32"/>
        </w:rPr>
        <w:t>（二）一般公共预算财政拨款支出决算结构情况</w:t>
      </w:r>
      <w:bookmarkEnd w:id="59"/>
      <w:bookmarkEnd w:id="60"/>
      <w:bookmarkEnd w:id="61"/>
    </w:p>
    <w:p>
      <w:pPr>
        <w:spacing w:line="576" w:lineRule="exact"/>
        <w:ind w:firstLine="640"/>
        <w:rPr>
          <w:rFonts w:eastAsia="仿宋_GB2312"/>
          <w:b/>
          <w:color w:val="000000"/>
          <w:sz w:val="32"/>
          <w:szCs w:val="32"/>
        </w:rPr>
      </w:pPr>
      <w:r>
        <w:rPr>
          <w:rFonts w:eastAsia="仿宋_GB2312"/>
          <w:color w:val="000000"/>
          <w:sz w:val="32"/>
          <w:szCs w:val="32"/>
        </w:rPr>
        <w:drawing>
          <wp:anchor distT="0" distB="0" distL="114300" distR="114300" simplePos="0" relativeHeight="251663360" behindDoc="0" locked="0" layoutInCell="1" allowOverlap="1">
            <wp:simplePos x="0" y="0"/>
            <wp:positionH relativeFrom="column">
              <wp:posOffset>486410</wp:posOffset>
            </wp:positionH>
            <wp:positionV relativeFrom="paragraph">
              <wp:posOffset>1985645</wp:posOffset>
            </wp:positionV>
            <wp:extent cx="3822700" cy="2000885"/>
            <wp:effectExtent l="0" t="0" r="0" b="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eastAsia="仿宋_GB2312"/>
          <w:color w:val="000000"/>
          <w:sz w:val="32"/>
          <w:szCs w:val="32"/>
        </w:rPr>
        <w:t>2020年一般公共预算财政拨款支出345.74万元，主要用于以下方面:</w:t>
      </w:r>
      <w:r>
        <w:rPr>
          <w:rFonts w:eastAsia="仿宋_GB2312"/>
          <w:bCs/>
          <w:color w:val="000000"/>
          <w:sz w:val="32"/>
          <w:szCs w:val="32"/>
        </w:rPr>
        <w:t>文化旅游体育与传媒（类）支出278.11万元，占80.4%</w:t>
      </w:r>
      <w:r>
        <w:rPr>
          <w:rFonts w:eastAsia="仿宋_GB2312"/>
          <w:color w:val="000000"/>
          <w:sz w:val="32"/>
          <w:szCs w:val="32"/>
        </w:rPr>
        <w:t>；社会保障和就业（类）支出32.86万元，占9.5%；</w:t>
      </w:r>
      <w:r>
        <w:rPr>
          <w:rFonts w:eastAsia="仿宋_GB2312"/>
          <w:bCs/>
          <w:color w:val="000000"/>
          <w:sz w:val="32"/>
          <w:szCs w:val="32"/>
        </w:rPr>
        <w:t>卫生健康支出14.05</w:t>
      </w:r>
      <w:r>
        <w:rPr>
          <w:rFonts w:eastAsia="仿宋_GB2312"/>
          <w:color w:val="000000"/>
          <w:sz w:val="32"/>
          <w:szCs w:val="32"/>
        </w:rPr>
        <w:t>万元，占4.1%；住房保障支出20.72万元，占6%．</w:t>
      </w:r>
    </w:p>
    <w:p>
      <w:pPr>
        <w:spacing w:line="576" w:lineRule="exact"/>
        <w:rPr>
          <w:rFonts w:eastAsia="仿宋"/>
          <w:color w:val="000000"/>
          <w:sz w:val="32"/>
          <w:szCs w:val="32"/>
        </w:rPr>
      </w:pPr>
    </w:p>
    <w:p>
      <w:pPr>
        <w:spacing w:line="576" w:lineRule="exact"/>
        <w:ind w:firstLine="640" w:firstLineChars="200"/>
        <w:rPr>
          <w:rFonts w:eastAsia="仿宋"/>
          <w:color w:val="000000"/>
          <w:sz w:val="32"/>
          <w:szCs w:val="32"/>
        </w:rPr>
      </w:pPr>
      <w:r>
        <w:rPr>
          <w:rFonts w:eastAsia="仿宋"/>
          <w:color w:val="000000"/>
          <w:sz w:val="32"/>
          <w:szCs w:val="32"/>
        </w:rPr>
        <w:t>（图6：一般公共预算财政拨款支出决算结构）（饼状图）</w:t>
      </w:r>
    </w:p>
    <w:p>
      <w:pPr>
        <w:spacing w:line="576" w:lineRule="exact"/>
        <w:ind w:firstLine="643" w:firstLineChars="200"/>
        <w:outlineLvl w:val="2"/>
        <w:rPr>
          <w:rFonts w:eastAsia="仿宋"/>
          <w:b/>
          <w:color w:val="000000"/>
          <w:sz w:val="32"/>
          <w:szCs w:val="32"/>
        </w:rPr>
      </w:pPr>
      <w:bookmarkStart w:id="62" w:name="_Toc79163617"/>
      <w:bookmarkStart w:id="63" w:name="_Toc79163867"/>
      <w:bookmarkStart w:id="64" w:name="_Toc15377212"/>
      <w:r>
        <w:rPr>
          <w:rFonts w:eastAsia="仿宋"/>
          <w:b/>
          <w:color w:val="000000"/>
          <w:sz w:val="32"/>
          <w:szCs w:val="32"/>
        </w:rPr>
        <w:t>（三）一般公共预算财政拨款支出决算具体情况</w:t>
      </w:r>
      <w:bookmarkEnd w:id="62"/>
      <w:bookmarkEnd w:id="63"/>
      <w:bookmarkEnd w:id="64"/>
    </w:p>
    <w:p>
      <w:pPr>
        <w:spacing w:line="576" w:lineRule="exact"/>
        <w:ind w:firstLine="640" w:firstLineChars="200"/>
        <w:rPr>
          <w:rFonts w:eastAsia="仿宋_GB2312"/>
          <w:bCs/>
          <w:color w:val="000000"/>
          <w:sz w:val="32"/>
          <w:szCs w:val="32"/>
        </w:rPr>
      </w:pPr>
      <w:bookmarkStart w:id="65" w:name="_Toc15377213"/>
      <w:bookmarkStart w:id="66" w:name="_Toc15378460"/>
      <w:bookmarkStart w:id="67" w:name="_Toc15377444"/>
      <w:r>
        <w:rPr>
          <w:rFonts w:eastAsia="仿宋_GB2312"/>
          <w:bCs/>
          <w:color w:val="000000"/>
          <w:sz w:val="32"/>
          <w:szCs w:val="32"/>
        </w:rPr>
        <w:t>2020年一般公共预算支出决算数为345.74，完成预算100%。其中：</w:t>
      </w:r>
      <w:bookmarkEnd w:id="65"/>
      <w:bookmarkEnd w:id="66"/>
      <w:bookmarkEnd w:id="67"/>
    </w:p>
    <w:p>
      <w:pPr>
        <w:widowControl/>
        <w:shd w:val="clear" w:color="auto" w:fill="FFFFFF"/>
        <w:spacing w:before="100" w:beforeAutospacing="1" w:after="100" w:afterAutospacing="1" w:line="576" w:lineRule="exact"/>
        <w:ind w:left="80" w:firstLine="640" w:firstLineChars="200"/>
        <w:jc w:val="left"/>
        <w:rPr>
          <w:rStyle w:val="22"/>
          <w:rFonts w:eastAsia="仿宋_GB2312"/>
          <w:b w:val="0"/>
          <w:color w:val="000000"/>
          <w:sz w:val="32"/>
          <w:szCs w:val="32"/>
        </w:rPr>
      </w:pPr>
      <w:r>
        <w:rPr>
          <w:rFonts w:hint="eastAsia" w:eastAsia="仿宋_GB2312"/>
          <w:color w:val="000000"/>
          <w:kern w:val="0"/>
          <w:sz w:val="32"/>
          <w:szCs w:val="32"/>
        </w:rPr>
        <w:t>1.</w:t>
      </w:r>
      <w:r>
        <w:rPr>
          <w:rFonts w:eastAsia="仿宋_GB2312"/>
          <w:color w:val="000000"/>
          <w:kern w:val="0"/>
          <w:sz w:val="32"/>
          <w:szCs w:val="32"/>
        </w:rPr>
        <w:t>文化旅游体育与传媒207（类）04（款）06（项）: 支出决算为</w:t>
      </w:r>
      <w:r>
        <w:rPr>
          <w:rFonts w:eastAsia="仿宋_GB2312"/>
          <w:bCs/>
          <w:color w:val="000000"/>
          <w:sz w:val="32"/>
          <w:szCs w:val="32"/>
        </w:rPr>
        <w:t>278.11</w:t>
      </w:r>
      <w:r>
        <w:rPr>
          <w:rFonts w:eastAsia="仿宋_GB2312"/>
          <w:color w:val="000000"/>
          <w:kern w:val="0"/>
          <w:sz w:val="32"/>
          <w:szCs w:val="32"/>
        </w:rPr>
        <w:t>万元，完成预算100%，</w:t>
      </w:r>
      <w:r>
        <w:rPr>
          <w:rStyle w:val="22"/>
          <w:rFonts w:eastAsia="仿宋_GB2312"/>
          <w:b w:val="0"/>
          <w:color w:val="000000"/>
          <w:sz w:val="32"/>
          <w:szCs w:val="32"/>
        </w:rPr>
        <w:t>决算数等于预算数的</w:t>
      </w:r>
    </w:p>
    <w:p>
      <w:pPr>
        <w:widowControl/>
        <w:shd w:val="clear" w:color="auto" w:fill="FFFFFF"/>
        <w:spacing w:before="100" w:beforeAutospacing="1" w:after="100" w:afterAutospacing="1" w:line="576" w:lineRule="exact"/>
        <w:ind w:left="80" w:firstLine="640" w:firstLineChars="200"/>
        <w:jc w:val="left"/>
        <w:rPr>
          <w:rFonts w:eastAsia="仿宋_GB2312"/>
          <w:color w:val="000000"/>
          <w:kern w:val="0"/>
          <w:sz w:val="32"/>
          <w:szCs w:val="32"/>
        </w:rPr>
      </w:pPr>
      <w:r>
        <w:rPr>
          <w:rFonts w:eastAsia="仿宋_GB2312"/>
          <w:color w:val="000000"/>
          <w:kern w:val="0"/>
          <w:sz w:val="32"/>
          <w:szCs w:val="32"/>
        </w:rPr>
        <w:t> 2.社会保障和就业208（类）05（款）06（项）: 支出决算为32.86万元，完成预算100%，</w:t>
      </w:r>
      <w:r>
        <w:rPr>
          <w:rStyle w:val="22"/>
          <w:rFonts w:eastAsia="仿宋_GB2312"/>
          <w:b w:val="0"/>
          <w:color w:val="000000"/>
          <w:sz w:val="32"/>
          <w:szCs w:val="32"/>
        </w:rPr>
        <w:t>决算数等于预算数的</w:t>
      </w:r>
    </w:p>
    <w:p>
      <w:pPr>
        <w:widowControl/>
        <w:shd w:val="clear" w:color="auto" w:fill="FFFFFF"/>
        <w:spacing w:before="100" w:beforeAutospacing="1" w:after="100" w:afterAutospacing="1" w:line="576" w:lineRule="exact"/>
        <w:jc w:val="left"/>
        <w:rPr>
          <w:rFonts w:eastAsia="仿宋_GB2312"/>
          <w:color w:val="000000"/>
          <w:kern w:val="0"/>
          <w:sz w:val="32"/>
          <w:szCs w:val="32"/>
        </w:rPr>
      </w:pPr>
      <w:r>
        <w:rPr>
          <w:rFonts w:eastAsia="仿宋_GB2312"/>
          <w:color w:val="000000"/>
          <w:kern w:val="0"/>
          <w:sz w:val="32"/>
          <w:szCs w:val="32"/>
        </w:rPr>
        <w:t> </w:t>
      </w:r>
      <w:r>
        <w:rPr>
          <w:rFonts w:hint="eastAsia" w:eastAsia="仿宋_GB2312"/>
          <w:color w:val="000000"/>
          <w:kern w:val="0"/>
          <w:sz w:val="32"/>
          <w:szCs w:val="32"/>
        </w:rPr>
        <w:t xml:space="preserve">    </w:t>
      </w:r>
      <w:r>
        <w:rPr>
          <w:rFonts w:eastAsia="仿宋_GB2312"/>
          <w:color w:val="000000"/>
          <w:kern w:val="0"/>
          <w:sz w:val="32"/>
          <w:szCs w:val="32"/>
        </w:rPr>
        <w:t>3.卫生健康210（类）11（款）02（项）:支出决算为14.05万元，完成预算100%，</w:t>
      </w:r>
      <w:r>
        <w:rPr>
          <w:rStyle w:val="22"/>
          <w:rFonts w:eastAsia="仿宋_GB2312"/>
          <w:b w:val="0"/>
          <w:color w:val="000000"/>
          <w:sz w:val="32"/>
          <w:szCs w:val="32"/>
        </w:rPr>
        <w:t>决算数等于预算数的</w:t>
      </w:r>
      <w:r>
        <w:rPr>
          <w:rFonts w:eastAsia="仿宋_GB2312"/>
          <w:color w:val="000000"/>
          <w:kern w:val="0"/>
          <w:sz w:val="32"/>
          <w:szCs w:val="32"/>
        </w:rPr>
        <w:t>。</w:t>
      </w:r>
    </w:p>
    <w:p>
      <w:pPr>
        <w:widowControl/>
        <w:shd w:val="clear" w:color="auto" w:fill="FFFFFF"/>
        <w:spacing w:before="100" w:beforeAutospacing="1" w:after="100" w:afterAutospacing="1" w:line="576" w:lineRule="exact"/>
        <w:ind w:firstLine="640" w:firstLineChars="200"/>
        <w:jc w:val="left"/>
        <w:rPr>
          <w:rFonts w:eastAsia="仿宋_GB2312"/>
          <w:b/>
          <w:color w:val="000000"/>
          <w:sz w:val="32"/>
          <w:szCs w:val="32"/>
        </w:rPr>
      </w:pPr>
      <w:r>
        <w:rPr>
          <w:rStyle w:val="22"/>
          <w:rFonts w:eastAsia="仿宋_GB2312"/>
          <w:b w:val="0"/>
          <w:color w:val="000000"/>
          <w:sz w:val="32"/>
          <w:szCs w:val="32"/>
        </w:rPr>
        <w:t>4．住房性保障221（类）02（款）01（项）:支出决算为20.72万元，完成预算100%，决算数等于预算数的。</w:t>
      </w:r>
    </w:p>
    <w:p>
      <w:pPr>
        <w:tabs>
          <w:tab w:val="right" w:pos="8306"/>
        </w:tabs>
        <w:spacing w:line="576" w:lineRule="exact"/>
        <w:outlineLvl w:val="1"/>
        <w:rPr>
          <w:rStyle w:val="25"/>
          <w:rFonts w:ascii="Times New Roman" w:hAnsi="Times New Roman" w:eastAsia="仿宋_GB2312"/>
          <w:color w:val="000000"/>
        </w:rPr>
      </w:pPr>
      <w:bookmarkStart w:id="68" w:name="_Toc79163618"/>
      <w:bookmarkStart w:id="69" w:name="_Toc79163868"/>
      <w:bookmarkStart w:id="70" w:name="_Toc15377214"/>
      <w:bookmarkStart w:id="71" w:name="_Toc15396608"/>
      <w:r>
        <w:rPr>
          <w:rFonts w:eastAsia="仿宋_GB2312"/>
          <w:color w:val="000000"/>
          <w:sz w:val="32"/>
          <w:szCs w:val="32"/>
        </w:rPr>
        <w:t>六、一</w:t>
      </w:r>
      <w:r>
        <w:rPr>
          <w:rStyle w:val="25"/>
          <w:rFonts w:ascii="Times New Roman" w:hAnsi="Times New Roman" w:eastAsia="仿宋_GB2312"/>
          <w:color w:val="000000"/>
        </w:rPr>
        <w:t>般公共预算财政拨款基本支出决算情况说明</w:t>
      </w:r>
      <w:bookmarkEnd w:id="68"/>
      <w:bookmarkEnd w:id="69"/>
      <w:bookmarkEnd w:id="70"/>
      <w:bookmarkEnd w:id="71"/>
      <w:r>
        <w:rPr>
          <w:rStyle w:val="25"/>
          <w:rFonts w:ascii="Times New Roman" w:hAnsi="Times New Roman" w:eastAsia="仿宋_GB2312"/>
          <w:color w:val="000000"/>
        </w:rPr>
        <w:tab/>
      </w:r>
    </w:p>
    <w:p>
      <w:pPr>
        <w:spacing w:line="576" w:lineRule="exact"/>
        <w:ind w:firstLine="645"/>
        <w:rPr>
          <w:rFonts w:eastAsia="仿宋_GB2312"/>
          <w:color w:val="000000"/>
          <w:sz w:val="32"/>
          <w:szCs w:val="32"/>
        </w:rPr>
      </w:pPr>
      <w:r>
        <w:rPr>
          <w:rFonts w:eastAsia="仿宋_GB2312"/>
          <w:color w:val="000000"/>
          <w:sz w:val="32"/>
          <w:szCs w:val="32"/>
        </w:rPr>
        <w:t>2020年一般公共预算财政拨款基本支出273.23万元，其中：</w:t>
      </w:r>
    </w:p>
    <w:p>
      <w:pPr>
        <w:widowControl/>
        <w:shd w:val="clear" w:color="auto" w:fill="FFFFFF"/>
        <w:spacing w:before="100" w:beforeAutospacing="1" w:after="100" w:afterAutospacing="1" w:line="576" w:lineRule="exact"/>
        <w:ind w:firstLine="640" w:firstLineChars="200"/>
        <w:jc w:val="left"/>
        <w:rPr>
          <w:rFonts w:eastAsia="仿宋_GB2312"/>
          <w:color w:val="000000"/>
          <w:kern w:val="0"/>
          <w:sz w:val="32"/>
          <w:szCs w:val="32"/>
        </w:rPr>
      </w:pPr>
      <w:r>
        <w:rPr>
          <w:rFonts w:eastAsia="仿宋_GB2312"/>
          <w:color w:val="000000"/>
          <w:sz w:val="32"/>
          <w:szCs w:val="32"/>
        </w:rPr>
        <w:t>人员经费252.22万元，主要包括：</w:t>
      </w:r>
      <w:r>
        <w:rPr>
          <w:rFonts w:eastAsia="仿宋_GB2312"/>
          <w:color w:val="000000"/>
          <w:kern w:val="0"/>
          <w:sz w:val="32"/>
          <w:szCs w:val="32"/>
        </w:rPr>
        <w:t>基本工资56.43万元、津贴补贴26.1万元、奖金52.71万元、绩效工资33.71万元、机关事业单位基本养老保险缴费22.27万元、职业年金缴费10.59万元、其他社会保障缴费4.63万元、生活补助8.48万元、医疗费补助2.52万元、住房公积金20.72万元、职工基本医疗保险缴费14.06万元等。</w:t>
      </w:r>
      <w:r>
        <w:rPr>
          <w:rFonts w:eastAsia="仿宋_GB2312"/>
          <w:color w:val="000000"/>
          <w:kern w:val="0"/>
          <w:sz w:val="32"/>
          <w:szCs w:val="32"/>
        </w:rPr>
        <w:br w:type="textWrapping"/>
      </w:r>
      <w:r>
        <w:rPr>
          <w:rFonts w:hint="eastAsia" w:eastAsia="仿宋_GB2312"/>
          <w:color w:val="000000"/>
          <w:kern w:val="0"/>
          <w:sz w:val="32"/>
          <w:szCs w:val="32"/>
        </w:rPr>
        <w:t xml:space="preserve">   </w:t>
      </w:r>
      <w:r>
        <w:rPr>
          <w:rFonts w:eastAsia="仿宋_GB2312"/>
          <w:color w:val="000000"/>
          <w:kern w:val="0"/>
          <w:sz w:val="32"/>
          <w:szCs w:val="32"/>
        </w:rPr>
        <w:t>日常公用经费21.01万元，主要包括：办公费6.45万元、电费1.16万元、邮电费3.46万元、差旅费6.04万元、因公出国维修（护）费1万元、培训费0.89万元、公务接待费0.13万元、公务用车运行维护费1.88万元等。</w:t>
      </w:r>
    </w:p>
    <w:p>
      <w:pPr>
        <w:spacing w:line="576" w:lineRule="exact"/>
        <w:ind w:firstLine="482" w:firstLineChars="150"/>
        <w:outlineLvl w:val="1"/>
        <w:rPr>
          <w:rStyle w:val="25"/>
          <w:rFonts w:ascii="Times New Roman" w:hAnsi="Times New Roman" w:eastAsia="仿宋_GB2312"/>
          <w:color w:val="000000"/>
        </w:rPr>
      </w:pPr>
      <w:bookmarkStart w:id="72" w:name="_Toc15396609"/>
      <w:bookmarkStart w:id="73" w:name="_Toc15377215"/>
      <w:bookmarkStart w:id="74" w:name="_Toc79163619"/>
      <w:bookmarkStart w:id="75" w:name="_Toc79163869"/>
      <w:r>
        <w:rPr>
          <w:rFonts w:eastAsia="仿宋_GB2312"/>
          <w:b/>
          <w:bCs/>
          <w:color w:val="000000"/>
          <w:sz w:val="32"/>
          <w:szCs w:val="32"/>
        </w:rPr>
        <w:t>七</w:t>
      </w:r>
      <w:r>
        <w:rPr>
          <w:rFonts w:eastAsia="仿宋_GB2312"/>
          <w:color w:val="000000"/>
          <w:sz w:val="32"/>
          <w:szCs w:val="32"/>
        </w:rPr>
        <w:t>、</w:t>
      </w:r>
      <w:r>
        <w:rPr>
          <w:rStyle w:val="25"/>
          <w:rFonts w:ascii="Times New Roman" w:hAnsi="Times New Roman" w:eastAsia="仿宋_GB2312"/>
          <w:color w:val="000000"/>
        </w:rPr>
        <w:t>“三公”经费财政拨款支出决算情况说明</w:t>
      </w:r>
      <w:bookmarkEnd w:id="72"/>
      <w:bookmarkEnd w:id="73"/>
      <w:bookmarkEnd w:id="74"/>
      <w:bookmarkEnd w:id="75"/>
    </w:p>
    <w:p>
      <w:pPr>
        <w:spacing w:line="576" w:lineRule="exact"/>
        <w:ind w:firstLine="640"/>
        <w:outlineLvl w:val="2"/>
        <w:rPr>
          <w:rFonts w:eastAsia="仿宋_GB2312"/>
          <w:b/>
          <w:color w:val="000000"/>
          <w:sz w:val="32"/>
          <w:szCs w:val="32"/>
        </w:rPr>
      </w:pPr>
      <w:bookmarkStart w:id="76" w:name="_Toc79163870"/>
      <w:bookmarkStart w:id="77" w:name="_Toc79163620"/>
      <w:bookmarkStart w:id="78" w:name="_Toc15377216"/>
      <w:r>
        <w:rPr>
          <w:rFonts w:eastAsia="仿宋_GB2312"/>
          <w:b/>
          <w:color w:val="000000"/>
          <w:sz w:val="32"/>
          <w:szCs w:val="32"/>
        </w:rPr>
        <w:t>（一）“三公”经费财政拨款支出决算总体情况说明</w:t>
      </w:r>
      <w:bookmarkEnd w:id="76"/>
      <w:bookmarkEnd w:id="77"/>
      <w:bookmarkEnd w:id="78"/>
    </w:p>
    <w:p>
      <w:pPr>
        <w:spacing w:line="576" w:lineRule="exact"/>
        <w:ind w:firstLine="640"/>
        <w:rPr>
          <w:rFonts w:eastAsia="仿宋_GB2312"/>
          <w:b/>
          <w:color w:val="000000"/>
          <w:sz w:val="32"/>
          <w:szCs w:val="32"/>
        </w:rPr>
      </w:pPr>
      <w:r>
        <w:rPr>
          <w:rFonts w:eastAsia="仿宋_GB2312"/>
          <w:color w:val="000000"/>
          <w:sz w:val="32"/>
          <w:szCs w:val="32"/>
        </w:rPr>
        <w:t>2020年“三公”经费财政拨款支出决算为2.01万元，完成预算31%，的主要原因是</w:t>
      </w:r>
      <w:r>
        <w:rPr>
          <w:rFonts w:eastAsia="仿宋_GB2312"/>
          <w:color w:val="000000"/>
          <w:kern w:val="0"/>
          <w:sz w:val="32"/>
          <w:szCs w:val="32"/>
        </w:rPr>
        <w:t>受疫情影响，工作未开展。</w:t>
      </w:r>
      <w:bookmarkStart w:id="79" w:name="_Toc79163871"/>
      <w:bookmarkStart w:id="80" w:name="_Toc15377217"/>
      <w:bookmarkStart w:id="81" w:name="_Toc79163621"/>
    </w:p>
    <w:p>
      <w:pPr>
        <w:spacing w:line="576" w:lineRule="exact"/>
        <w:ind w:firstLine="640"/>
        <w:outlineLvl w:val="2"/>
        <w:rPr>
          <w:rFonts w:eastAsia="仿宋_GB2312"/>
          <w:b/>
          <w:color w:val="000000"/>
          <w:sz w:val="32"/>
          <w:szCs w:val="32"/>
        </w:rPr>
      </w:pPr>
      <w:r>
        <w:rPr>
          <w:rFonts w:hint="eastAsia" w:eastAsia="仿宋_GB2312"/>
          <w:b/>
          <w:color w:val="000000"/>
          <w:sz w:val="32"/>
          <w:szCs w:val="32"/>
        </w:rPr>
        <w:t>（</w:t>
      </w:r>
      <w:r>
        <w:rPr>
          <w:rFonts w:eastAsia="仿宋_GB2312"/>
          <w:b/>
          <w:color w:val="000000"/>
          <w:sz w:val="32"/>
          <w:szCs w:val="32"/>
        </w:rPr>
        <w:t>二）“三公”经费财政拨款支出决算具体情况说明</w:t>
      </w:r>
      <w:bookmarkEnd w:id="79"/>
      <w:bookmarkEnd w:id="80"/>
      <w:bookmarkEnd w:id="81"/>
    </w:p>
    <w:p>
      <w:pPr>
        <w:spacing w:line="576" w:lineRule="exact"/>
        <w:ind w:firstLine="640"/>
        <w:rPr>
          <w:rFonts w:eastAsia="仿宋_GB2312"/>
          <w:color w:val="000000"/>
          <w:sz w:val="32"/>
          <w:szCs w:val="32"/>
        </w:rPr>
      </w:pPr>
      <w:r>
        <w:rPr>
          <w:rFonts w:eastAsia="仿宋_GB2312"/>
          <w:color w:val="000000"/>
          <w:sz w:val="32"/>
          <w:szCs w:val="32"/>
        </w:rPr>
        <w:t>2020年“三公”经费财政拨款支出决算中，因公出国（境）费支出决算0万元；公务用车购置及运行维护费支出决算1.88万元，占93%；公务接待费支出决算0.13万元，占3%。具体情况如下：</w:t>
      </w:r>
    </w:p>
    <w:p>
      <w:pPr>
        <w:spacing w:line="576" w:lineRule="exact"/>
        <w:ind w:firstLine="640"/>
        <w:rPr>
          <w:rFonts w:eastAsia="仿宋"/>
          <w:color w:val="000000"/>
          <w:sz w:val="32"/>
          <w:szCs w:val="32"/>
        </w:rPr>
      </w:pPr>
      <w:r>
        <w:rPr>
          <w:rFonts w:hint="eastAsia" w:eastAsia="仿宋_GB2312"/>
          <w:color w:val="000000"/>
        </w:rPr>
        <w:drawing>
          <wp:anchor distT="0" distB="0" distL="114300" distR="114300" simplePos="0" relativeHeight="251664384" behindDoc="0" locked="0" layoutInCell="1" allowOverlap="1">
            <wp:simplePos x="0" y="0"/>
            <wp:positionH relativeFrom="column">
              <wp:posOffset>334645</wp:posOffset>
            </wp:positionH>
            <wp:positionV relativeFrom="paragraph">
              <wp:posOffset>298450</wp:posOffset>
            </wp:positionV>
            <wp:extent cx="4928235" cy="2563495"/>
            <wp:effectExtent l="0" t="0" r="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eastAsia="仿宋"/>
          <w:color w:val="000000"/>
          <w:sz w:val="32"/>
          <w:szCs w:val="32"/>
        </w:rPr>
        <w:tab/>
      </w:r>
    </w:p>
    <w:p>
      <w:pPr>
        <w:spacing w:line="576" w:lineRule="exact"/>
        <w:ind w:firstLine="640"/>
        <w:rPr>
          <w:rFonts w:eastAsia="仿宋"/>
          <w:color w:val="000000"/>
          <w:sz w:val="32"/>
          <w:szCs w:val="32"/>
        </w:rPr>
      </w:pPr>
      <w:r>
        <w:rPr>
          <w:rFonts w:eastAsia="仿宋"/>
          <w:color w:val="000000"/>
          <w:sz w:val="32"/>
          <w:szCs w:val="32"/>
        </w:rPr>
        <w:t>（图7：“三公”经费财政拨款支出结构）（饼状图）</w:t>
      </w:r>
    </w:p>
    <w:p>
      <w:pPr>
        <w:spacing w:line="576" w:lineRule="exact"/>
        <w:ind w:firstLine="803" w:firstLineChars="250"/>
        <w:rPr>
          <w:rStyle w:val="22"/>
          <w:rFonts w:eastAsia="仿宋"/>
          <w:b w:val="0"/>
          <w:bCs/>
          <w:color w:val="000000"/>
          <w:sz w:val="32"/>
          <w:szCs w:val="32"/>
        </w:rPr>
      </w:pPr>
      <w:r>
        <w:rPr>
          <w:rFonts w:eastAsia="仿宋_GB2312"/>
          <w:b/>
          <w:color w:val="000000"/>
          <w:sz w:val="32"/>
          <w:szCs w:val="32"/>
        </w:rPr>
        <w:t>1、无因公出国（境）经费支出</w:t>
      </w:r>
      <w:r>
        <w:rPr>
          <w:rStyle w:val="22"/>
          <w:rFonts w:eastAsia="仿宋"/>
          <w:b w:val="0"/>
          <w:bCs/>
          <w:color w:val="000000"/>
          <w:sz w:val="32"/>
          <w:szCs w:val="32"/>
        </w:rPr>
        <w:t>。</w:t>
      </w:r>
    </w:p>
    <w:p>
      <w:pPr>
        <w:spacing w:line="576" w:lineRule="exact"/>
        <w:ind w:firstLine="803" w:firstLineChars="250"/>
        <w:rPr>
          <w:rFonts w:eastAsia="仿宋_GB2312"/>
          <w:b/>
          <w:color w:val="000000"/>
          <w:sz w:val="32"/>
          <w:szCs w:val="32"/>
        </w:rPr>
      </w:pPr>
      <w:r>
        <w:rPr>
          <w:rFonts w:eastAsia="仿宋_GB2312"/>
          <w:b/>
          <w:color w:val="000000"/>
          <w:sz w:val="32"/>
          <w:szCs w:val="32"/>
        </w:rPr>
        <w:t>2.</w:t>
      </w:r>
      <w:r>
        <w:rPr>
          <w:rFonts w:eastAsia="仿宋_GB2312"/>
          <w:color w:val="000000"/>
          <w:sz w:val="32"/>
          <w:szCs w:val="32"/>
        </w:rPr>
        <w:t>公务用车购置及运行维护费支出1.88万元,</w:t>
      </w:r>
      <w:r>
        <w:rPr>
          <w:rStyle w:val="22"/>
          <w:rFonts w:eastAsia="仿宋_GB2312"/>
          <w:b w:val="0"/>
          <w:bCs/>
          <w:color w:val="000000"/>
          <w:sz w:val="32"/>
          <w:szCs w:val="32"/>
        </w:rPr>
        <w:t>完成预算31%。</w:t>
      </w:r>
      <w:r>
        <w:rPr>
          <w:rFonts w:eastAsia="仿宋_GB2312"/>
          <w:color w:val="000000"/>
          <w:sz w:val="32"/>
          <w:szCs w:val="32"/>
        </w:rPr>
        <w:t>公务用车购置及运行维护费支出决算比2019年减少6.39万元，下降77.62%。主要原因</w:t>
      </w:r>
      <w:r>
        <w:rPr>
          <w:rFonts w:eastAsia="仿宋_GB2312"/>
          <w:color w:val="000000"/>
          <w:kern w:val="0"/>
          <w:sz w:val="32"/>
          <w:szCs w:val="32"/>
        </w:rPr>
        <w:t>受疫情影响，工作未开展</w:t>
      </w:r>
      <w:r>
        <w:rPr>
          <w:rFonts w:eastAsia="仿宋_GB2312"/>
          <w:color w:val="000000"/>
          <w:sz w:val="32"/>
          <w:szCs w:val="32"/>
        </w:rPr>
        <w:t>。</w:t>
      </w:r>
    </w:p>
    <w:p>
      <w:pPr>
        <w:spacing w:line="576" w:lineRule="exact"/>
        <w:ind w:firstLine="640"/>
        <w:rPr>
          <w:rFonts w:eastAsia="仿宋_GB2312"/>
          <w:color w:val="000000"/>
          <w:sz w:val="32"/>
          <w:szCs w:val="32"/>
        </w:rPr>
      </w:pPr>
      <w:r>
        <w:rPr>
          <w:rFonts w:eastAsia="仿宋_GB2312"/>
          <w:color w:val="000000"/>
          <w:sz w:val="32"/>
          <w:szCs w:val="32"/>
        </w:rPr>
        <w:t>公务用车运行维护费支出1.88万元。</w:t>
      </w:r>
      <w:r>
        <w:rPr>
          <w:rFonts w:eastAsia="仿宋_GB2312"/>
          <w:color w:val="000000"/>
          <w:kern w:val="0"/>
          <w:sz w:val="32"/>
          <w:szCs w:val="32"/>
        </w:rPr>
        <w:t>主要用于</w:t>
      </w:r>
      <w:r>
        <w:rPr>
          <w:rFonts w:eastAsia="仿宋_GB2312"/>
          <w:color w:val="000000"/>
          <w:sz w:val="32"/>
          <w:szCs w:val="32"/>
        </w:rPr>
        <w:t>对13县农村电影放映的监管工作，影城工作，中心工作等支出。</w:t>
      </w:r>
      <w:r>
        <w:rPr>
          <w:rFonts w:eastAsia="仿宋_GB2312"/>
          <w:color w:val="000000"/>
          <w:kern w:val="0"/>
          <w:sz w:val="32"/>
          <w:szCs w:val="32"/>
        </w:rPr>
        <w:t>所需的公务用车燃料费、维修费、过路过桥费、保险费等支出。</w:t>
      </w:r>
    </w:p>
    <w:p>
      <w:pPr>
        <w:spacing w:line="576" w:lineRule="exact"/>
        <w:ind w:firstLine="640"/>
        <w:rPr>
          <w:rFonts w:eastAsia="仿宋_GB2312"/>
          <w:color w:val="000000"/>
          <w:sz w:val="32"/>
          <w:szCs w:val="32"/>
        </w:rPr>
      </w:pPr>
      <w:r>
        <w:rPr>
          <w:rFonts w:eastAsia="仿宋_GB2312"/>
          <w:b/>
          <w:color w:val="000000"/>
          <w:sz w:val="32"/>
          <w:szCs w:val="32"/>
        </w:rPr>
        <w:t>3.</w:t>
      </w:r>
      <w:r>
        <w:rPr>
          <w:rFonts w:eastAsia="仿宋_GB2312"/>
          <w:color w:val="000000"/>
          <w:sz w:val="32"/>
          <w:szCs w:val="32"/>
        </w:rPr>
        <w:t>公务接待费支出0.13万元，</w:t>
      </w:r>
      <w:r>
        <w:rPr>
          <w:rStyle w:val="22"/>
          <w:rFonts w:eastAsia="仿宋_GB2312"/>
          <w:b w:val="0"/>
          <w:bCs/>
          <w:color w:val="000000"/>
          <w:sz w:val="32"/>
          <w:szCs w:val="32"/>
        </w:rPr>
        <w:t>完成预算33%。</w:t>
      </w:r>
      <w:r>
        <w:rPr>
          <w:rFonts w:eastAsia="仿宋_GB2312"/>
          <w:color w:val="000000"/>
          <w:sz w:val="32"/>
          <w:szCs w:val="32"/>
        </w:rPr>
        <w:t>公务接待费支出决算比2019年减少0.6万元，下降4.61%。主要原因是其中：厉行节约，减少开支。</w:t>
      </w:r>
    </w:p>
    <w:p>
      <w:pPr>
        <w:spacing w:line="576" w:lineRule="exact"/>
        <w:ind w:firstLine="640"/>
        <w:outlineLvl w:val="1"/>
        <w:rPr>
          <w:rStyle w:val="25"/>
          <w:rFonts w:ascii="Times New Roman" w:hAnsi="Times New Roman" w:eastAsia="黑体"/>
          <w:color w:val="000000"/>
        </w:rPr>
      </w:pPr>
      <w:bookmarkStart w:id="82" w:name="_Toc79163872"/>
      <w:bookmarkStart w:id="83" w:name="_Toc15396610"/>
      <w:bookmarkStart w:id="84" w:name="_Toc15377218"/>
      <w:bookmarkStart w:id="85" w:name="_Toc79163622"/>
      <w:r>
        <w:rPr>
          <w:rFonts w:eastAsia="黑体"/>
          <w:color w:val="000000"/>
          <w:sz w:val="32"/>
          <w:szCs w:val="32"/>
        </w:rPr>
        <w:t>八、</w:t>
      </w:r>
      <w:r>
        <w:rPr>
          <w:rStyle w:val="25"/>
          <w:rFonts w:ascii="Times New Roman" w:hAnsi="Times New Roman" w:eastAsia="黑体"/>
          <w:b w:val="0"/>
          <w:color w:val="000000"/>
        </w:rPr>
        <w:t>政府性基金预算支出决算情况说明</w:t>
      </w:r>
      <w:bookmarkEnd w:id="82"/>
      <w:bookmarkEnd w:id="83"/>
      <w:bookmarkEnd w:id="84"/>
      <w:bookmarkEnd w:id="85"/>
    </w:p>
    <w:p>
      <w:pPr>
        <w:spacing w:line="576" w:lineRule="exact"/>
        <w:ind w:firstLine="640"/>
        <w:rPr>
          <w:rFonts w:eastAsia="仿宋_GB2312"/>
          <w:color w:val="000000"/>
          <w:sz w:val="32"/>
          <w:szCs w:val="32"/>
        </w:rPr>
      </w:pPr>
      <w:r>
        <w:rPr>
          <w:rFonts w:eastAsia="仿宋_GB2312"/>
          <w:color w:val="000000"/>
          <w:sz w:val="32"/>
          <w:szCs w:val="32"/>
        </w:rPr>
        <w:t>无</w:t>
      </w:r>
    </w:p>
    <w:p>
      <w:pPr>
        <w:tabs>
          <w:tab w:val="left" w:pos="0"/>
        </w:tabs>
        <w:spacing w:line="576" w:lineRule="exact"/>
        <w:ind w:firstLine="640" w:firstLineChars="200"/>
        <w:outlineLvl w:val="1"/>
        <w:rPr>
          <w:rStyle w:val="25"/>
          <w:rFonts w:ascii="Times New Roman" w:hAnsi="Times New Roman" w:eastAsia="黑体"/>
          <w:b w:val="0"/>
          <w:color w:val="000000"/>
        </w:rPr>
      </w:pPr>
      <w:bookmarkStart w:id="86" w:name="_Toc79163623"/>
      <w:bookmarkStart w:id="87" w:name="_Toc15377219"/>
      <w:bookmarkStart w:id="88" w:name="_Toc79163873"/>
      <w:bookmarkStart w:id="89" w:name="_Toc15396611"/>
      <w:r>
        <w:rPr>
          <w:rStyle w:val="25"/>
          <w:rFonts w:ascii="Times New Roman" w:hAnsi="Times New Roman" w:eastAsia="黑体"/>
          <w:b w:val="0"/>
          <w:color w:val="000000"/>
        </w:rPr>
        <w:t>九、国有资本经营预算支出决算情况说明</w:t>
      </w:r>
      <w:bookmarkEnd w:id="86"/>
      <w:bookmarkEnd w:id="87"/>
      <w:bookmarkEnd w:id="88"/>
      <w:bookmarkEnd w:id="89"/>
    </w:p>
    <w:p>
      <w:pPr>
        <w:spacing w:line="576" w:lineRule="exact"/>
        <w:ind w:firstLine="640"/>
        <w:rPr>
          <w:rFonts w:eastAsia="仿宋_GB2312"/>
          <w:color w:val="000000"/>
          <w:sz w:val="32"/>
          <w:szCs w:val="32"/>
        </w:rPr>
      </w:pPr>
      <w:r>
        <w:rPr>
          <w:rFonts w:eastAsia="仿宋_GB2312"/>
          <w:color w:val="000000"/>
          <w:sz w:val="32"/>
          <w:szCs w:val="32"/>
        </w:rPr>
        <w:t>无</w:t>
      </w:r>
    </w:p>
    <w:p>
      <w:pPr>
        <w:spacing w:line="576" w:lineRule="exact"/>
        <w:ind w:firstLine="640" w:firstLineChars="200"/>
        <w:outlineLvl w:val="1"/>
        <w:rPr>
          <w:rStyle w:val="25"/>
          <w:rFonts w:ascii="Times New Roman" w:hAnsi="Times New Roman" w:eastAsia="黑体"/>
          <w:color w:val="000000"/>
        </w:rPr>
      </w:pPr>
      <w:bookmarkStart w:id="90" w:name="_Toc15377221"/>
      <w:bookmarkStart w:id="91" w:name="_Toc79163874"/>
      <w:bookmarkStart w:id="92" w:name="_Toc15396612"/>
      <w:bookmarkStart w:id="93" w:name="_Toc79163624"/>
      <w:r>
        <w:rPr>
          <w:rFonts w:eastAsia="黑体"/>
          <w:color w:val="000000"/>
          <w:sz w:val="32"/>
          <w:szCs w:val="32"/>
        </w:rPr>
        <w:t>十</w:t>
      </w:r>
      <w:r>
        <w:rPr>
          <w:rStyle w:val="25"/>
          <w:rFonts w:ascii="Times New Roman" w:hAnsi="Times New Roman" w:eastAsia="黑体"/>
          <w:color w:val="000000"/>
        </w:rPr>
        <w:t>、</w:t>
      </w:r>
      <w:r>
        <w:rPr>
          <w:rStyle w:val="25"/>
          <w:rFonts w:ascii="Times New Roman" w:hAnsi="Times New Roman" w:eastAsia="黑体"/>
          <w:b w:val="0"/>
          <w:color w:val="000000"/>
        </w:rPr>
        <w:t>其他重要事项的情况说明</w:t>
      </w:r>
      <w:bookmarkEnd w:id="90"/>
      <w:bookmarkEnd w:id="91"/>
      <w:bookmarkEnd w:id="92"/>
      <w:bookmarkEnd w:id="93"/>
    </w:p>
    <w:p>
      <w:pPr>
        <w:widowControl/>
        <w:shd w:val="clear" w:color="auto" w:fill="FFFFFF"/>
        <w:spacing w:before="100" w:beforeAutospacing="1" w:after="100" w:afterAutospacing="1" w:line="576" w:lineRule="exact"/>
        <w:ind w:firstLine="482" w:firstLineChars="200"/>
        <w:jc w:val="left"/>
        <w:rPr>
          <w:rFonts w:eastAsia="仿宋_GB2312"/>
          <w:b/>
          <w:bCs/>
          <w:color w:val="000000"/>
          <w:kern w:val="0"/>
          <w:sz w:val="32"/>
          <w:szCs w:val="32"/>
        </w:rPr>
      </w:pPr>
      <w:bookmarkStart w:id="94" w:name="_Toc79163625"/>
      <w:bookmarkEnd w:id="94"/>
      <w:bookmarkStart w:id="95" w:name="_Toc15377222"/>
      <w:bookmarkEnd w:id="95"/>
      <w:bookmarkStart w:id="96" w:name="_Toc79163875"/>
      <w:bookmarkEnd w:id="96"/>
      <w:r>
        <w:rPr>
          <w:rFonts w:eastAsia="仿宋_GB2312"/>
          <w:b/>
          <w:bCs/>
          <w:color w:val="000000"/>
          <w:kern w:val="0"/>
          <w:sz w:val="24"/>
        </w:rPr>
        <w:t>（</w:t>
      </w:r>
      <w:r>
        <w:rPr>
          <w:rFonts w:eastAsia="仿宋_GB2312"/>
          <w:b/>
          <w:bCs/>
          <w:color w:val="000000"/>
          <w:kern w:val="0"/>
          <w:sz w:val="32"/>
          <w:szCs w:val="32"/>
        </w:rPr>
        <w:t>一）无机关运行经费支出情况</w:t>
      </w:r>
    </w:p>
    <w:p>
      <w:pPr>
        <w:widowControl/>
        <w:shd w:val="clear" w:color="auto" w:fill="FFFFFF"/>
        <w:spacing w:before="100" w:beforeAutospacing="1" w:after="100" w:afterAutospacing="1" w:line="576" w:lineRule="exact"/>
        <w:ind w:firstLine="643" w:firstLineChars="200"/>
        <w:jc w:val="left"/>
        <w:rPr>
          <w:rFonts w:eastAsia="仿宋_GB2312"/>
          <w:b/>
          <w:bCs/>
          <w:color w:val="000000"/>
          <w:kern w:val="0"/>
          <w:sz w:val="32"/>
          <w:szCs w:val="32"/>
        </w:rPr>
      </w:pPr>
      <w:r>
        <w:rPr>
          <w:rFonts w:eastAsia="仿宋_GB2312"/>
          <w:b/>
          <w:bCs/>
          <w:color w:val="000000"/>
          <w:kern w:val="0"/>
          <w:sz w:val="32"/>
          <w:szCs w:val="32"/>
        </w:rPr>
        <w:t>无</w:t>
      </w:r>
    </w:p>
    <w:p>
      <w:pPr>
        <w:widowControl/>
        <w:shd w:val="clear" w:color="auto" w:fill="FFFFFF"/>
        <w:spacing w:before="100" w:beforeAutospacing="1" w:after="100" w:afterAutospacing="1" w:line="576" w:lineRule="exact"/>
        <w:ind w:firstLine="643" w:firstLineChars="200"/>
        <w:jc w:val="left"/>
        <w:rPr>
          <w:rFonts w:eastAsia="仿宋_GB2312"/>
          <w:b/>
          <w:color w:val="000000"/>
          <w:sz w:val="32"/>
          <w:szCs w:val="32"/>
        </w:rPr>
      </w:pPr>
      <w:bookmarkStart w:id="97" w:name="_Toc79163626"/>
      <w:bookmarkStart w:id="98" w:name="_Toc79163876"/>
      <w:bookmarkStart w:id="99" w:name="_Toc15377223"/>
      <w:r>
        <w:rPr>
          <w:rFonts w:eastAsia="仿宋_GB2312"/>
          <w:b/>
          <w:color w:val="000000"/>
          <w:sz w:val="32"/>
          <w:szCs w:val="32"/>
        </w:rPr>
        <w:t>（二）政府采购支出情况</w:t>
      </w:r>
      <w:bookmarkEnd w:id="97"/>
      <w:bookmarkEnd w:id="98"/>
      <w:bookmarkEnd w:id="99"/>
    </w:p>
    <w:p>
      <w:pPr>
        <w:widowControl/>
        <w:shd w:val="clear" w:color="auto" w:fill="FFFFFF"/>
        <w:spacing w:before="100" w:beforeAutospacing="1" w:after="100" w:afterAutospacing="1" w:line="576" w:lineRule="exact"/>
        <w:ind w:firstLine="643" w:firstLineChars="200"/>
        <w:jc w:val="left"/>
        <w:rPr>
          <w:rFonts w:eastAsia="仿宋_GB2312"/>
          <w:b/>
          <w:color w:val="000000"/>
          <w:sz w:val="32"/>
          <w:szCs w:val="32"/>
        </w:rPr>
      </w:pPr>
      <w:r>
        <w:rPr>
          <w:rFonts w:eastAsia="仿宋_GB2312"/>
          <w:b/>
          <w:color w:val="000000"/>
          <w:sz w:val="32"/>
          <w:szCs w:val="32"/>
        </w:rPr>
        <w:t>无</w:t>
      </w:r>
      <w:bookmarkStart w:id="100" w:name="_Toc79163627"/>
      <w:bookmarkStart w:id="101" w:name="_Toc15377224"/>
      <w:bookmarkStart w:id="102" w:name="_Toc79163877"/>
    </w:p>
    <w:p>
      <w:pPr>
        <w:widowControl/>
        <w:shd w:val="clear" w:color="auto" w:fill="FFFFFF"/>
        <w:spacing w:before="100" w:beforeAutospacing="1" w:after="100" w:afterAutospacing="1" w:line="576" w:lineRule="exact"/>
        <w:ind w:firstLine="643" w:firstLineChars="200"/>
        <w:jc w:val="left"/>
        <w:rPr>
          <w:rFonts w:eastAsia="仿宋_GB2312"/>
          <w:b/>
          <w:color w:val="000000"/>
          <w:sz w:val="32"/>
          <w:szCs w:val="32"/>
        </w:rPr>
      </w:pPr>
      <w:r>
        <w:rPr>
          <w:rFonts w:eastAsia="仿宋_GB2312"/>
          <w:b/>
          <w:color w:val="000000"/>
          <w:sz w:val="32"/>
          <w:szCs w:val="32"/>
        </w:rPr>
        <w:t>（三）国有资产占有使用情况</w:t>
      </w:r>
      <w:bookmarkEnd w:id="100"/>
      <w:bookmarkEnd w:id="101"/>
      <w:bookmarkEnd w:id="102"/>
    </w:p>
    <w:p>
      <w:pPr>
        <w:widowControl/>
        <w:shd w:val="clear" w:color="auto" w:fill="FFFFFF"/>
        <w:spacing w:before="100" w:beforeAutospacing="1" w:after="100" w:afterAutospacing="1" w:line="576" w:lineRule="exact"/>
        <w:ind w:firstLine="640" w:firstLineChars="200"/>
        <w:jc w:val="left"/>
        <w:rPr>
          <w:color w:val="000000"/>
          <w:kern w:val="0"/>
          <w:sz w:val="32"/>
          <w:szCs w:val="32"/>
        </w:rPr>
      </w:pPr>
      <w:bookmarkStart w:id="103" w:name="_Toc79163628"/>
      <w:bookmarkStart w:id="104" w:name="_Toc79163878"/>
      <w:r>
        <w:rPr>
          <w:rFonts w:eastAsia="仿宋_GB2312"/>
          <w:color w:val="000000"/>
          <w:kern w:val="0"/>
          <w:sz w:val="32"/>
          <w:szCs w:val="32"/>
        </w:rPr>
        <w:t>截至20</w:t>
      </w:r>
      <w:r>
        <w:rPr>
          <w:rFonts w:hint="eastAsia" w:eastAsia="仿宋_GB2312"/>
          <w:color w:val="000000"/>
          <w:kern w:val="0"/>
          <w:sz w:val="32"/>
          <w:szCs w:val="32"/>
        </w:rPr>
        <w:t>20</w:t>
      </w:r>
      <w:r>
        <w:rPr>
          <w:rFonts w:eastAsia="仿宋_GB2312"/>
          <w:color w:val="000000"/>
          <w:kern w:val="0"/>
          <w:sz w:val="32"/>
          <w:szCs w:val="32"/>
        </w:rPr>
        <w:t>年12月31日，四川省阿坝州电影服务中心（本级）共有车辆2辆，</w:t>
      </w:r>
      <w:r>
        <w:rPr>
          <w:rFonts w:eastAsia="仿宋_GB2312"/>
          <w:color w:val="000000"/>
          <w:sz w:val="32"/>
          <w:szCs w:val="32"/>
        </w:rPr>
        <w:t>其中：部级领导干部用车0辆、主要领导干部用车0辆、机要通信用车0辆、应急保障用车0辆、执法执勤用车0辆、特种专业技术用车0辆、离退休干部用车0辆、其他用车2辆</w:t>
      </w:r>
      <w:r>
        <w:rPr>
          <w:rFonts w:eastAsia="仿宋_GB2312"/>
          <w:color w:val="000000"/>
          <w:kern w:val="0"/>
          <w:sz w:val="32"/>
          <w:szCs w:val="32"/>
        </w:rPr>
        <w:t>。主要是用于</w:t>
      </w:r>
      <w:r>
        <w:rPr>
          <w:rFonts w:eastAsia="仿宋_GB2312"/>
          <w:color w:val="000000"/>
          <w:sz w:val="32"/>
          <w:szCs w:val="32"/>
        </w:rPr>
        <w:t>对13县农村电影放映的监管工作，影城工作，中心工作等支出</w:t>
      </w:r>
      <w:r>
        <w:rPr>
          <w:rFonts w:eastAsia="仿宋_GB2312"/>
          <w:color w:val="000000"/>
          <w:kern w:val="0"/>
          <w:sz w:val="32"/>
          <w:szCs w:val="32"/>
        </w:rPr>
        <w:t>。单价50万元以上通用设备2台（套），单价100万元以上专用设备0台（套）。</w:t>
      </w:r>
    </w:p>
    <w:p>
      <w:pPr>
        <w:autoSpaceDE w:val="0"/>
        <w:autoSpaceDN w:val="0"/>
        <w:spacing w:line="576" w:lineRule="exact"/>
        <w:ind w:firstLine="643" w:firstLineChars="200"/>
        <w:jc w:val="left"/>
        <w:outlineLvl w:val="2"/>
        <w:rPr>
          <w:rFonts w:eastAsia="仿宋_GB2312"/>
          <w:b/>
          <w:color w:val="000000"/>
          <w:sz w:val="32"/>
          <w:szCs w:val="32"/>
        </w:rPr>
      </w:pPr>
      <w:r>
        <w:rPr>
          <w:rFonts w:eastAsia="仿宋_GB2312"/>
          <w:b/>
          <w:color w:val="000000"/>
          <w:sz w:val="32"/>
          <w:szCs w:val="32"/>
        </w:rPr>
        <w:t>（四）预算绩效管理情况。</w:t>
      </w:r>
      <w:bookmarkEnd w:id="103"/>
      <w:bookmarkEnd w:id="104"/>
    </w:p>
    <w:p>
      <w:pPr>
        <w:spacing w:line="576" w:lineRule="exact"/>
        <w:ind w:firstLine="640" w:firstLineChars="200"/>
        <w:rPr>
          <w:rFonts w:eastAsia="仿宋_GB2312"/>
          <w:color w:val="000000"/>
          <w:sz w:val="32"/>
          <w:szCs w:val="32"/>
        </w:rPr>
      </w:pPr>
      <w:r>
        <w:rPr>
          <w:rFonts w:eastAsia="仿宋_GB2312"/>
          <w:color w:val="000000"/>
          <w:sz w:val="32"/>
          <w:szCs w:val="32"/>
        </w:rPr>
        <w:t>根据预算绩效管理要求，本部门（单位）在年初预算编制阶段，组织对２项目（疫情期间影城纾困补助，农村电影影片订购费）开展了预算事前绩效评估，对２个项目编制了绩效目标，预算执行过程中，选取２个项目开展绩效监控，年终执行完毕后，对２个项目开展了绩效目标完成情况自评。</w:t>
      </w:r>
    </w:p>
    <w:p>
      <w:pPr>
        <w:widowControl/>
        <w:shd w:val="clear" w:color="auto" w:fill="FFFFFF"/>
        <w:spacing w:before="68" w:after="68" w:line="576" w:lineRule="exact"/>
        <w:ind w:firstLine="645"/>
        <w:jc w:val="left"/>
        <w:rPr>
          <w:rFonts w:eastAsia="仿宋_GB2312"/>
          <w:color w:val="000000"/>
          <w:sz w:val="32"/>
          <w:szCs w:val="32"/>
        </w:rPr>
      </w:pPr>
      <w:r>
        <w:rPr>
          <w:rFonts w:eastAsia="仿宋_GB2312"/>
          <w:color w:val="000000"/>
          <w:sz w:val="32"/>
          <w:szCs w:val="32"/>
        </w:rPr>
        <w:t>本部门按要求对2020年部门整体支出开展绩效自评，从评价情况：受疫情影响，全州电影放映工作全部停滞，行业遭受了巨大冲击。为积极响应国家政策，做好电影单位在疫情期间的自强自救，马尔康太平洋电影城无法经营，影城临聘人员11人生活补助及购买五险费用较大，影城临聘人员属于编外人员，财政无法保证人员经费，影城日常开支无法支付。疫情期间影城纾困补助40万</w:t>
      </w:r>
      <w:r>
        <w:rPr>
          <w:rFonts w:hint="eastAsia" w:eastAsia="仿宋_GB2312"/>
          <w:color w:val="000000"/>
          <w:sz w:val="32"/>
          <w:szCs w:val="32"/>
        </w:rPr>
        <w:t>元</w:t>
      </w:r>
      <w:r>
        <w:rPr>
          <w:rFonts w:eastAsia="仿宋_GB2312"/>
          <w:color w:val="000000"/>
          <w:sz w:val="32"/>
          <w:szCs w:val="32"/>
        </w:rPr>
        <w:t>，用于影城工资社保27</w:t>
      </w:r>
      <w:r>
        <w:rPr>
          <w:rFonts w:hint="eastAsia" w:eastAsia="仿宋_GB2312"/>
          <w:color w:val="000000"/>
          <w:sz w:val="32"/>
          <w:szCs w:val="32"/>
        </w:rPr>
        <w:t>.</w:t>
      </w:r>
      <w:r>
        <w:rPr>
          <w:rFonts w:eastAsia="仿宋_GB2312"/>
          <w:color w:val="000000"/>
          <w:sz w:val="32"/>
          <w:szCs w:val="32"/>
        </w:rPr>
        <w:t>10</w:t>
      </w:r>
      <w:r>
        <w:rPr>
          <w:rFonts w:hint="eastAsia" w:eastAsia="仿宋_GB2312"/>
          <w:color w:val="000000"/>
          <w:sz w:val="32"/>
          <w:szCs w:val="32"/>
        </w:rPr>
        <w:t>万</w:t>
      </w:r>
      <w:r>
        <w:rPr>
          <w:rFonts w:eastAsia="仿宋_GB2312"/>
          <w:color w:val="000000"/>
          <w:sz w:val="32"/>
          <w:szCs w:val="32"/>
        </w:rPr>
        <w:t>元，电费1</w:t>
      </w:r>
      <w:r>
        <w:rPr>
          <w:rFonts w:hint="eastAsia" w:eastAsia="仿宋_GB2312"/>
          <w:color w:val="000000"/>
          <w:sz w:val="32"/>
          <w:szCs w:val="32"/>
        </w:rPr>
        <w:t>.</w:t>
      </w:r>
      <w:r>
        <w:rPr>
          <w:rFonts w:eastAsia="仿宋_GB2312"/>
          <w:color w:val="000000"/>
          <w:sz w:val="32"/>
          <w:szCs w:val="32"/>
        </w:rPr>
        <w:t>8</w:t>
      </w:r>
      <w:r>
        <w:rPr>
          <w:rFonts w:hint="eastAsia" w:eastAsia="仿宋_GB2312"/>
          <w:color w:val="000000"/>
          <w:sz w:val="32"/>
          <w:szCs w:val="32"/>
        </w:rPr>
        <w:t>1万</w:t>
      </w:r>
      <w:r>
        <w:rPr>
          <w:rFonts w:eastAsia="仿宋_GB2312"/>
          <w:color w:val="000000"/>
          <w:sz w:val="32"/>
          <w:szCs w:val="32"/>
        </w:rPr>
        <w:t>元，物业管理4</w:t>
      </w:r>
      <w:r>
        <w:rPr>
          <w:rFonts w:hint="eastAsia" w:eastAsia="仿宋_GB2312"/>
          <w:color w:val="000000"/>
          <w:sz w:val="32"/>
          <w:szCs w:val="32"/>
        </w:rPr>
        <w:t>.</w:t>
      </w:r>
      <w:r>
        <w:rPr>
          <w:rFonts w:eastAsia="仿宋_GB2312"/>
          <w:color w:val="000000"/>
          <w:sz w:val="32"/>
          <w:szCs w:val="32"/>
        </w:rPr>
        <w:t>65</w:t>
      </w:r>
      <w:r>
        <w:rPr>
          <w:rFonts w:hint="eastAsia" w:eastAsia="仿宋_GB2312"/>
          <w:color w:val="000000"/>
          <w:sz w:val="32"/>
          <w:szCs w:val="32"/>
        </w:rPr>
        <w:t>万</w:t>
      </w:r>
      <w:r>
        <w:rPr>
          <w:rFonts w:eastAsia="仿宋_GB2312"/>
          <w:color w:val="000000"/>
          <w:sz w:val="32"/>
          <w:szCs w:val="32"/>
        </w:rPr>
        <w:t>元，维修费3</w:t>
      </w: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万</w:t>
      </w:r>
      <w:r>
        <w:rPr>
          <w:rFonts w:eastAsia="仿宋_GB2312"/>
          <w:color w:val="000000"/>
          <w:sz w:val="32"/>
          <w:szCs w:val="32"/>
        </w:rPr>
        <w:t>元，培训费2</w:t>
      </w:r>
      <w:r>
        <w:rPr>
          <w:rFonts w:hint="eastAsia" w:eastAsia="仿宋_GB2312"/>
          <w:color w:val="000000"/>
          <w:sz w:val="32"/>
          <w:szCs w:val="32"/>
        </w:rPr>
        <w:t>.</w:t>
      </w:r>
      <w:r>
        <w:rPr>
          <w:rFonts w:eastAsia="仿宋_GB2312"/>
          <w:color w:val="000000"/>
          <w:sz w:val="32"/>
          <w:szCs w:val="32"/>
        </w:rPr>
        <w:t>8</w:t>
      </w:r>
      <w:r>
        <w:rPr>
          <w:rFonts w:hint="eastAsia" w:eastAsia="仿宋_GB2312"/>
          <w:color w:val="000000"/>
          <w:sz w:val="32"/>
          <w:szCs w:val="32"/>
        </w:rPr>
        <w:t>4</w:t>
      </w:r>
      <w:r>
        <w:rPr>
          <w:rFonts w:eastAsia="仿宋_GB2312"/>
          <w:color w:val="000000"/>
          <w:sz w:val="32"/>
          <w:szCs w:val="32"/>
        </w:rPr>
        <w:t>元。</w:t>
      </w:r>
    </w:p>
    <w:p>
      <w:pPr>
        <w:widowControl/>
        <w:shd w:val="clear" w:color="auto" w:fill="FFFFFF"/>
        <w:spacing w:before="68" w:after="68" w:line="576" w:lineRule="exact"/>
        <w:ind w:firstLine="640" w:firstLineChars="200"/>
        <w:jc w:val="left"/>
        <w:rPr>
          <w:rFonts w:eastAsia="仿宋_GB2312"/>
          <w:color w:val="000000"/>
          <w:kern w:val="0"/>
          <w:sz w:val="32"/>
          <w:szCs w:val="32"/>
        </w:rPr>
      </w:pPr>
      <w:r>
        <w:rPr>
          <w:rFonts w:eastAsia="仿宋_GB2312"/>
          <w:color w:val="000000"/>
          <w:kern w:val="0"/>
          <w:sz w:val="32"/>
          <w:szCs w:val="32"/>
        </w:rPr>
        <w:t>资金投入和使用情况：年初预算安排</w:t>
      </w:r>
      <w:r>
        <w:rPr>
          <w:rFonts w:hint="eastAsia" w:eastAsia="仿宋_GB2312"/>
          <w:color w:val="000000"/>
          <w:kern w:val="0"/>
          <w:sz w:val="32"/>
          <w:szCs w:val="32"/>
        </w:rPr>
        <w:t>40</w:t>
      </w:r>
      <w:r>
        <w:rPr>
          <w:rFonts w:eastAsia="仿宋_GB2312"/>
          <w:color w:val="000000"/>
          <w:kern w:val="0"/>
          <w:sz w:val="32"/>
          <w:szCs w:val="32"/>
        </w:rPr>
        <w:t>万元，已使用</w:t>
      </w:r>
      <w:r>
        <w:rPr>
          <w:rFonts w:hint="eastAsia" w:eastAsia="仿宋_GB2312"/>
          <w:color w:val="000000"/>
          <w:kern w:val="0"/>
          <w:sz w:val="32"/>
          <w:szCs w:val="32"/>
        </w:rPr>
        <w:t>40</w:t>
      </w:r>
      <w:r>
        <w:rPr>
          <w:rFonts w:eastAsia="仿宋_GB2312"/>
          <w:color w:val="000000"/>
          <w:kern w:val="0"/>
          <w:sz w:val="32"/>
          <w:szCs w:val="32"/>
        </w:rPr>
        <w:t>万元。</w:t>
      </w:r>
    </w:p>
    <w:p>
      <w:pPr>
        <w:widowControl/>
        <w:shd w:val="clear" w:color="auto" w:fill="FFFFFF"/>
        <w:spacing w:before="68" w:after="68" w:line="576" w:lineRule="exact"/>
        <w:ind w:firstLine="640" w:firstLineChars="200"/>
        <w:jc w:val="left"/>
        <w:rPr>
          <w:rFonts w:eastAsia="仿宋_GB2312"/>
          <w:color w:val="000000"/>
          <w:kern w:val="0"/>
          <w:sz w:val="32"/>
          <w:szCs w:val="32"/>
        </w:rPr>
      </w:pPr>
      <w:r>
        <w:rPr>
          <w:rFonts w:eastAsia="仿宋_GB2312"/>
          <w:color w:val="000000"/>
          <w:kern w:val="0"/>
          <w:sz w:val="32"/>
          <w:szCs w:val="32"/>
        </w:rPr>
        <w:t>项目概况：2020年农村公益电影影片订购费，农村电影公益放映场次补贴专项资金是由中央和地方财政安排的，用于保障农村群众观看“一村一月一场”电影对公益放映活动给予补助的财政专项资金。按照川财教（2014）270号文件规定，以每场20元实施购买，全州1354个行政村，每月一场电影，全年共16248场电影。</w:t>
      </w:r>
    </w:p>
    <w:p>
      <w:pPr>
        <w:widowControl/>
        <w:shd w:val="clear" w:color="auto" w:fill="FFFFFF"/>
        <w:spacing w:before="68" w:after="68" w:line="576" w:lineRule="exact"/>
        <w:ind w:firstLine="465"/>
        <w:jc w:val="left"/>
        <w:rPr>
          <w:rFonts w:eastAsia="仿宋_GB2312"/>
          <w:color w:val="000000"/>
          <w:kern w:val="0"/>
          <w:sz w:val="32"/>
          <w:szCs w:val="32"/>
        </w:rPr>
      </w:pPr>
      <w:r>
        <w:rPr>
          <w:rFonts w:eastAsia="仿宋_GB2312"/>
          <w:color w:val="000000"/>
          <w:kern w:val="0"/>
          <w:sz w:val="32"/>
          <w:szCs w:val="32"/>
        </w:rPr>
        <w:t>主要内容及实施情况：由于疫情的原因全州</w:t>
      </w:r>
      <w:r>
        <w:rPr>
          <w:rFonts w:eastAsia="仿宋_GB2312"/>
          <w:color w:val="000000"/>
          <w:sz w:val="32"/>
          <w:szCs w:val="32"/>
        </w:rPr>
        <w:t xml:space="preserve"> 8月才恢复放映，省电影局下达我州的16248场农村公益电影放映任务，正可谓时间短、任务重。中心积极向全州各县（市）制定调整放映计划，压实工作责任，督促任务推进，经多方努力，在短短5个月时间，顺利完成放映任务。截至12月30日，阿坝农村数字电影中心下载2262部次，订购20239场，全州放映农村公益电影16897场，受益人数达49.85万人次，完成率103.99%。农村电影放映任务圆满完成。</w:t>
      </w:r>
      <w:r>
        <w:rPr>
          <w:rFonts w:eastAsia="仿宋_GB2312"/>
          <w:color w:val="000000"/>
          <w:kern w:val="0"/>
          <w:sz w:val="32"/>
          <w:szCs w:val="32"/>
        </w:rPr>
        <w:t>　　</w:t>
      </w:r>
    </w:p>
    <w:p>
      <w:pPr>
        <w:widowControl/>
        <w:shd w:val="clear" w:color="auto" w:fill="FFFFFF"/>
        <w:spacing w:before="68" w:after="68" w:line="576" w:lineRule="exact"/>
        <w:ind w:firstLine="465"/>
        <w:jc w:val="left"/>
        <w:rPr>
          <w:rFonts w:eastAsia="仿宋_GB2312"/>
          <w:color w:val="000000"/>
          <w:kern w:val="0"/>
          <w:sz w:val="32"/>
          <w:szCs w:val="32"/>
        </w:rPr>
      </w:pPr>
      <w:r>
        <w:rPr>
          <w:rFonts w:eastAsia="仿宋_GB2312"/>
          <w:color w:val="000000"/>
          <w:kern w:val="0"/>
          <w:sz w:val="32"/>
          <w:szCs w:val="32"/>
        </w:rPr>
        <w:t>资金投入和使用情况：年初预算安排32.5万元，已使用32.5万元。</w:t>
      </w:r>
    </w:p>
    <w:p>
      <w:pPr>
        <w:spacing w:line="576" w:lineRule="exact"/>
        <w:rPr>
          <w:rFonts w:eastAsia="仿宋_GB2312"/>
          <w:color w:val="000000"/>
          <w:sz w:val="32"/>
          <w:szCs w:val="32"/>
        </w:rPr>
      </w:pPr>
    </w:p>
    <w:tbl>
      <w:tblPr>
        <w:tblStyle w:val="20"/>
        <w:tblpPr w:leftFromText="180" w:rightFromText="180" w:vertAnchor="text" w:horzAnchor="page" w:tblpXSpec="center" w:tblpY="423"/>
        <w:tblOverlap w:val="never"/>
        <w:tblW w:w="9959" w:type="dxa"/>
        <w:tblInd w:w="0" w:type="dxa"/>
        <w:tblLayout w:type="fixed"/>
        <w:tblCellMar>
          <w:top w:w="0" w:type="dxa"/>
          <w:left w:w="0" w:type="dxa"/>
          <w:bottom w:w="0" w:type="dxa"/>
          <w:right w:w="0" w:type="dxa"/>
        </w:tblCellMar>
      </w:tblPr>
      <w:tblGrid>
        <w:gridCol w:w="389"/>
        <w:gridCol w:w="1367"/>
        <w:gridCol w:w="1025"/>
        <w:gridCol w:w="2392"/>
        <w:gridCol w:w="2394"/>
        <w:gridCol w:w="2392"/>
      </w:tblGrid>
      <w:tr>
        <w:trPr>
          <w:trHeight w:val="1034" w:hRule="atLeast"/>
        </w:trPr>
        <w:tc>
          <w:tcPr>
            <w:tcW w:w="9959" w:type="dxa"/>
            <w:gridSpan w:val="6"/>
            <w:tcBorders>
              <w:top w:val="nil"/>
              <w:left w:val="nil"/>
              <w:bottom w:val="nil"/>
              <w:right w:val="nil"/>
            </w:tcBorders>
            <w:noWrap/>
            <w:tcMar>
              <w:top w:w="15" w:type="dxa"/>
              <w:left w:w="15" w:type="dxa"/>
              <w:right w:w="15" w:type="dxa"/>
            </w:tcMar>
            <w:vAlign w:val="center"/>
          </w:tcPr>
          <w:p>
            <w:pPr>
              <w:widowControl/>
              <w:spacing w:line="576" w:lineRule="exact"/>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eastAsia="仿宋_GB2312"/>
                <w:color w:val="000000"/>
                <w:sz w:val="32"/>
                <w:szCs w:val="32"/>
              </w:rPr>
              <w:t>疫情期间影城纾困补助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阿坝州电影服务中心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40万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40万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40万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40万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76" w:lineRule="exact"/>
              <w:jc w:val="center"/>
              <w:rPr>
                <w:color w:val="000000"/>
                <w:sz w:val="24"/>
              </w:rPr>
            </w:pPr>
            <w:r>
              <w:rPr>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hd w:val="clear" w:color="auto" w:fill="FFFFFF"/>
              <w:spacing w:before="68" w:after="68" w:line="576" w:lineRule="exact"/>
              <w:ind w:firstLine="645"/>
              <w:jc w:val="left"/>
              <w:rPr>
                <w:rFonts w:eastAsia="仿宋_GB2312"/>
                <w:color w:val="000000"/>
                <w:sz w:val="30"/>
                <w:szCs w:val="30"/>
              </w:rPr>
            </w:pPr>
            <w:r>
              <w:rPr>
                <w:rFonts w:eastAsia="仿宋_GB2312"/>
                <w:color w:val="000000"/>
                <w:sz w:val="30"/>
                <w:szCs w:val="30"/>
              </w:rPr>
              <w:t>保障影城疫情期间影城纾困补助40万</w:t>
            </w:r>
            <w:r>
              <w:rPr>
                <w:rFonts w:hint="eastAsia" w:eastAsia="仿宋_GB2312"/>
                <w:color w:val="000000"/>
                <w:sz w:val="30"/>
                <w:szCs w:val="30"/>
              </w:rPr>
              <w:t>元</w:t>
            </w:r>
            <w:r>
              <w:rPr>
                <w:rFonts w:eastAsia="仿宋_GB2312"/>
                <w:color w:val="000000"/>
                <w:sz w:val="30"/>
                <w:szCs w:val="30"/>
              </w:rPr>
              <w:t>，用于影城工资社保27</w:t>
            </w:r>
            <w:r>
              <w:rPr>
                <w:rFonts w:hint="eastAsia" w:eastAsia="仿宋_GB2312"/>
                <w:color w:val="000000"/>
                <w:sz w:val="30"/>
                <w:szCs w:val="30"/>
              </w:rPr>
              <w:t>.</w:t>
            </w:r>
            <w:r>
              <w:rPr>
                <w:rFonts w:eastAsia="仿宋_GB2312"/>
                <w:color w:val="000000"/>
                <w:sz w:val="30"/>
                <w:szCs w:val="30"/>
              </w:rPr>
              <w:t>10</w:t>
            </w:r>
            <w:r>
              <w:rPr>
                <w:rFonts w:hint="eastAsia" w:eastAsia="仿宋_GB2312"/>
                <w:color w:val="000000"/>
                <w:sz w:val="30"/>
                <w:szCs w:val="30"/>
              </w:rPr>
              <w:t>万</w:t>
            </w:r>
            <w:r>
              <w:rPr>
                <w:rFonts w:eastAsia="仿宋_GB2312"/>
                <w:color w:val="000000"/>
                <w:sz w:val="30"/>
                <w:szCs w:val="30"/>
              </w:rPr>
              <w:t>元，电费1</w:t>
            </w:r>
            <w:r>
              <w:rPr>
                <w:rFonts w:hint="eastAsia" w:eastAsia="仿宋_GB2312"/>
                <w:color w:val="000000"/>
                <w:sz w:val="30"/>
                <w:szCs w:val="30"/>
              </w:rPr>
              <w:t>.</w:t>
            </w:r>
            <w:r>
              <w:rPr>
                <w:rFonts w:eastAsia="仿宋_GB2312"/>
                <w:color w:val="000000"/>
                <w:sz w:val="30"/>
                <w:szCs w:val="30"/>
              </w:rPr>
              <w:t>8</w:t>
            </w:r>
            <w:r>
              <w:rPr>
                <w:rFonts w:hint="eastAsia" w:eastAsia="仿宋_GB2312"/>
                <w:color w:val="000000"/>
                <w:sz w:val="30"/>
                <w:szCs w:val="30"/>
              </w:rPr>
              <w:t>1万</w:t>
            </w:r>
            <w:r>
              <w:rPr>
                <w:rFonts w:eastAsia="仿宋_GB2312"/>
                <w:color w:val="000000"/>
                <w:sz w:val="30"/>
                <w:szCs w:val="30"/>
              </w:rPr>
              <w:t>元，物业管理4</w:t>
            </w:r>
            <w:r>
              <w:rPr>
                <w:rFonts w:hint="eastAsia" w:eastAsia="仿宋_GB2312"/>
                <w:color w:val="000000"/>
                <w:sz w:val="30"/>
                <w:szCs w:val="30"/>
              </w:rPr>
              <w:t>.</w:t>
            </w:r>
            <w:r>
              <w:rPr>
                <w:rFonts w:eastAsia="仿宋_GB2312"/>
                <w:color w:val="000000"/>
                <w:sz w:val="30"/>
                <w:szCs w:val="30"/>
              </w:rPr>
              <w:t>65</w:t>
            </w:r>
            <w:r>
              <w:rPr>
                <w:rFonts w:hint="eastAsia" w:eastAsia="仿宋_GB2312"/>
                <w:color w:val="000000"/>
                <w:sz w:val="30"/>
                <w:szCs w:val="30"/>
              </w:rPr>
              <w:t>万</w:t>
            </w:r>
            <w:r>
              <w:rPr>
                <w:rFonts w:eastAsia="仿宋_GB2312"/>
                <w:color w:val="000000"/>
                <w:sz w:val="30"/>
                <w:szCs w:val="30"/>
              </w:rPr>
              <w:t>元，维修费3</w:t>
            </w:r>
            <w:r>
              <w:rPr>
                <w:rFonts w:hint="eastAsia" w:eastAsia="仿宋_GB2312"/>
                <w:color w:val="000000"/>
                <w:sz w:val="30"/>
                <w:szCs w:val="30"/>
              </w:rPr>
              <w:t>.</w:t>
            </w:r>
            <w:r>
              <w:rPr>
                <w:rFonts w:eastAsia="仿宋_GB2312"/>
                <w:color w:val="000000"/>
                <w:sz w:val="30"/>
                <w:szCs w:val="30"/>
              </w:rPr>
              <w:t>6</w:t>
            </w:r>
            <w:r>
              <w:rPr>
                <w:rFonts w:hint="eastAsia" w:eastAsia="仿宋_GB2312"/>
                <w:color w:val="000000"/>
                <w:sz w:val="30"/>
                <w:szCs w:val="30"/>
              </w:rPr>
              <w:t>万</w:t>
            </w:r>
            <w:r>
              <w:rPr>
                <w:rFonts w:eastAsia="仿宋_GB2312"/>
                <w:color w:val="000000"/>
                <w:sz w:val="30"/>
                <w:szCs w:val="30"/>
              </w:rPr>
              <w:t>元，培训费2</w:t>
            </w:r>
            <w:r>
              <w:rPr>
                <w:rFonts w:hint="eastAsia" w:eastAsia="仿宋_GB2312"/>
                <w:color w:val="000000"/>
                <w:sz w:val="30"/>
                <w:szCs w:val="30"/>
              </w:rPr>
              <w:t>.</w:t>
            </w:r>
            <w:r>
              <w:rPr>
                <w:rFonts w:eastAsia="仿宋_GB2312"/>
                <w:color w:val="000000"/>
                <w:sz w:val="30"/>
                <w:szCs w:val="30"/>
              </w:rPr>
              <w:t>8</w:t>
            </w:r>
            <w:r>
              <w:rPr>
                <w:rFonts w:hint="eastAsia" w:eastAsia="仿宋_GB2312"/>
                <w:color w:val="000000"/>
                <w:sz w:val="30"/>
                <w:szCs w:val="30"/>
              </w:rPr>
              <w:t>4</w:t>
            </w:r>
            <w:r>
              <w:rPr>
                <w:rFonts w:eastAsia="仿宋_GB2312"/>
                <w:color w:val="000000"/>
                <w:sz w:val="30"/>
                <w:szCs w:val="30"/>
              </w:rPr>
              <w:t>元。</w:t>
            </w:r>
          </w:p>
          <w:p>
            <w:pPr>
              <w:widowControl/>
              <w:shd w:val="clear" w:color="auto" w:fill="FFFFFF"/>
              <w:spacing w:before="68" w:after="68" w:line="576" w:lineRule="exact"/>
              <w:ind w:firstLine="645"/>
              <w:jc w:val="left"/>
              <w:rPr>
                <w:rFonts w:eastAsia="仿宋_GB2312"/>
                <w:color w:val="000000"/>
                <w:sz w:val="30"/>
                <w:szCs w:val="30"/>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hd w:val="clear" w:color="auto" w:fill="FFFFFF"/>
              <w:spacing w:before="68" w:after="68" w:line="576" w:lineRule="exact"/>
              <w:ind w:firstLine="645"/>
              <w:jc w:val="left"/>
              <w:rPr>
                <w:rFonts w:eastAsia="仿宋_GB2312"/>
                <w:color w:val="000000"/>
                <w:sz w:val="30"/>
                <w:szCs w:val="30"/>
              </w:rPr>
            </w:pPr>
            <w:r>
              <w:rPr>
                <w:rFonts w:eastAsia="仿宋_GB2312"/>
                <w:color w:val="000000"/>
                <w:sz w:val="30"/>
                <w:szCs w:val="30"/>
              </w:rPr>
              <w:t>保障影城疫情期间影城纾困补助40万</w:t>
            </w:r>
            <w:r>
              <w:rPr>
                <w:rFonts w:hint="eastAsia" w:eastAsia="仿宋_GB2312"/>
                <w:color w:val="000000"/>
                <w:sz w:val="30"/>
                <w:szCs w:val="30"/>
              </w:rPr>
              <w:t>元</w:t>
            </w:r>
            <w:r>
              <w:rPr>
                <w:rFonts w:eastAsia="仿宋_GB2312"/>
                <w:color w:val="000000"/>
                <w:sz w:val="30"/>
                <w:szCs w:val="30"/>
              </w:rPr>
              <w:t>，用于影城工资社保27</w:t>
            </w:r>
            <w:r>
              <w:rPr>
                <w:rFonts w:hint="eastAsia" w:eastAsia="仿宋_GB2312"/>
                <w:color w:val="000000"/>
                <w:sz w:val="30"/>
                <w:szCs w:val="30"/>
              </w:rPr>
              <w:t>.</w:t>
            </w:r>
            <w:r>
              <w:rPr>
                <w:rFonts w:eastAsia="仿宋_GB2312"/>
                <w:color w:val="000000"/>
                <w:sz w:val="30"/>
                <w:szCs w:val="30"/>
              </w:rPr>
              <w:t>10</w:t>
            </w:r>
            <w:r>
              <w:rPr>
                <w:rFonts w:hint="eastAsia" w:eastAsia="仿宋_GB2312"/>
                <w:color w:val="000000"/>
                <w:sz w:val="30"/>
                <w:szCs w:val="30"/>
              </w:rPr>
              <w:t>万</w:t>
            </w:r>
            <w:r>
              <w:rPr>
                <w:rFonts w:eastAsia="仿宋_GB2312"/>
                <w:color w:val="000000"/>
                <w:sz w:val="30"/>
                <w:szCs w:val="30"/>
              </w:rPr>
              <w:t>元，电费1</w:t>
            </w:r>
            <w:r>
              <w:rPr>
                <w:rFonts w:hint="eastAsia" w:eastAsia="仿宋_GB2312"/>
                <w:color w:val="000000"/>
                <w:sz w:val="30"/>
                <w:szCs w:val="30"/>
              </w:rPr>
              <w:t>.</w:t>
            </w:r>
            <w:r>
              <w:rPr>
                <w:rFonts w:eastAsia="仿宋_GB2312"/>
                <w:color w:val="000000"/>
                <w:sz w:val="30"/>
                <w:szCs w:val="30"/>
              </w:rPr>
              <w:t>8</w:t>
            </w:r>
            <w:r>
              <w:rPr>
                <w:rFonts w:hint="eastAsia" w:eastAsia="仿宋_GB2312"/>
                <w:color w:val="000000"/>
                <w:sz w:val="30"/>
                <w:szCs w:val="30"/>
              </w:rPr>
              <w:t>1万</w:t>
            </w:r>
            <w:r>
              <w:rPr>
                <w:rFonts w:eastAsia="仿宋_GB2312"/>
                <w:color w:val="000000"/>
                <w:sz w:val="30"/>
                <w:szCs w:val="30"/>
              </w:rPr>
              <w:t>元，物业管理4</w:t>
            </w:r>
            <w:r>
              <w:rPr>
                <w:rFonts w:hint="eastAsia" w:eastAsia="仿宋_GB2312"/>
                <w:color w:val="000000"/>
                <w:sz w:val="30"/>
                <w:szCs w:val="30"/>
              </w:rPr>
              <w:t>.</w:t>
            </w:r>
            <w:r>
              <w:rPr>
                <w:rFonts w:eastAsia="仿宋_GB2312"/>
                <w:color w:val="000000"/>
                <w:sz w:val="30"/>
                <w:szCs w:val="30"/>
              </w:rPr>
              <w:t>65</w:t>
            </w:r>
            <w:r>
              <w:rPr>
                <w:rFonts w:hint="eastAsia" w:eastAsia="仿宋_GB2312"/>
                <w:color w:val="000000"/>
                <w:sz w:val="30"/>
                <w:szCs w:val="30"/>
              </w:rPr>
              <w:t>万</w:t>
            </w:r>
            <w:r>
              <w:rPr>
                <w:rFonts w:eastAsia="仿宋_GB2312"/>
                <w:color w:val="000000"/>
                <w:sz w:val="30"/>
                <w:szCs w:val="30"/>
              </w:rPr>
              <w:t>元，维修费3</w:t>
            </w:r>
            <w:r>
              <w:rPr>
                <w:rFonts w:hint="eastAsia" w:eastAsia="仿宋_GB2312"/>
                <w:color w:val="000000"/>
                <w:sz w:val="30"/>
                <w:szCs w:val="30"/>
              </w:rPr>
              <w:t>.</w:t>
            </w:r>
            <w:r>
              <w:rPr>
                <w:rFonts w:eastAsia="仿宋_GB2312"/>
                <w:color w:val="000000"/>
                <w:sz w:val="30"/>
                <w:szCs w:val="30"/>
              </w:rPr>
              <w:t>6</w:t>
            </w:r>
            <w:r>
              <w:rPr>
                <w:rFonts w:hint="eastAsia" w:eastAsia="仿宋_GB2312"/>
                <w:color w:val="000000"/>
                <w:sz w:val="30"/>
                <w:szCs w:val="30"/>
              </w:rPr>
              <w:t>万</w:t>
            </w:r>
            <w:r>
              <w:rPr>
                <w:rFonts w:eastAsia="仿宋_GB2312"/>
                <w:color w:val="000000"/>
                <w:sz w:val="30"/>
                <w:szCs w:val="30"/>
              </w:rPr>
              <w:t>元，培训费2</w:t>
            </w:r>
            <w:r>
              <w:rPr>
                <w:rFonts w:hint="eastAsia" w:eastAsia="仿宋_GB2312"/>
                <w:color w:val="000000"/>
                <w:sz w:val="30"/>
                <w:szCs w:val="30"/>
              </w:rPr>
              <w:t>.</w:t>
            </w:r>
            <w:r>
              <w:rPr>
                <w:rFonts w:eastAsia="仿宋_GB2312"/>
                <w:color w:val="000000"/>
                <w:sz w:val="30"/>
                <w:szCs w:val="30"/>
              </w:rPr>
              <w:t>8</w:t>
            </w:r>
            <w:r>
              <w:rPr>
                <w:rFonts w:hint="eastAsia" w:eastAsia="仿宋_GB2312"/>
                <w:color w:val="000000"/>
                <w:sz w:val="30"/>
                <w:szCs w:val="30"/>
              </w:rPr>
              <w:t>4</w:t>
            </w:r>
            <w:r>
              <w:rPr>
                <w:rFonts w:eastAsia="仿宋_GB2312"/>
                <w:color w:val="000000"/>
                <w:sz w:val="30"/>
                <w:szCs w:val="30"/>
              </w:rPr>
              <w:t>元。</w:t>
            </w:r>
          </w:p>
          <w:p>
            <w:pPr>
              <w:widowControl/>
              <w:shd w:val="clear" w:color="auto" w:fill="FFFFFF"/>
              <w:spacing w:before="68" w:after="68" w:line="576" w:lineRule="exact"/>
              <w:ind w:firstLine="645"/>
              <w:jc w:val="left"/>
              <w:rPr>
                <w:rFonts w:eastAsia="仿宋_GB2312"/>
                <w:color w:val="000000"/>
                <w:sz w:val="30"/>
                <w:szCs w:val="30"/>
              </w:rPr>
            </w:pPr>
            <w:r>
              <w:rPr>
                <w:rFonts w:eastAsia="仿宋_GB2312"/>
                <w:color w:val="000000"/>
                <w:sz w:val="30"/>
                <w:szCs w:val="30"/>
              </w:rPr>
              <w:t>。</w:t>
            </w:r>
          </w:p>
          <w:p>
            <w:pPr>
              <w:widowControl/>
              <w:spacing w:line="576" w:lineRule="exact"/>
              <w:jc w:val="center"/>
              <w:textAlignment w:val="center"/>
              <w:rPr>
                <w:rFonts w:eastAsia="仿宋_GB2312"/>
                <w:color w:val="000000"/>
                <w:sz w:val="30"/>
                <w:szCs w:val="30"/>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影城营业收入</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票房收入</w:t>
            </w:r>
            <w:r>
              <w:rPr>
                <w:rFonts w:hint="eastAsia"/>
                <w:color w:val="000000"/>
                <w:sz w:val="24"/>
              </w:rPr>
              <w:t>37</w:t>
            </w:r>
            <w:r>
              <w:rPr>
                <w:color w:val="000000"/>
                <w:sz w:val="24"/>
              </w:rPr>
              <w:t>万，卖品收入</w:t>
            </w:r>
            <w:r>
              <w:rPr>
                <w:rFonts w:hint="eastAsia"/>
                <w:color w:val="000000"/>
                <w:sz w:val="24"/>
              </w:rPr>
              <w:t>3.38</w:t>
            </w:r>
            <w:r>
              <w:rPr>
                <w:color w:val="000000"/>
                <w:sz w:val="24"/>
              </w:rPr>
              <w:t>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票房收入</w:t>
            </w:r>
            <w:r>
              <w:rPr>
                <w:rFonts w:hint="eastAsia"/>
                <w:color w:val="000000"/>
                <w:sz w:val="24"/>
              </w:rPr>
              <w:t>37</w:t>
            </w:r>
            <w:r>
              <w:rPr>
                <w:color w:val="000000"/>
                <w:sz w:val="24"/>
              </w:rPr>
              <w:t>万，卖品收入</w:t>
            </w:r>
            <w:r>
              <w:rPr>
                <w:rFonts w:hint="eastAsia"/>
                <w:color w:val="000000"/>
                <w:sz w:val="24"/>
              </w:rPr>
              <w:t>3.38</w:t>
            </w:r>
            <w:r>
              <w:rPr>
                <w:color w:val="000000"/>
                <w:sz w:val="24"/>
              </w:rPr>
              <w:t>万。</w:t>
            </w:r>
          </w:p>
        </w:tc>
      </w:tr>
      <w:tr>
        <w:tblPrEx>
          <w:tblCellMar>
            <w:top w:w="0" w:type="dxa"/>
            <w:left w:w="0" w:type="dxa"/>
            <w:bottom w:w="0" w:type="dxa"/>
            <w:right w:w="0" w:type="dxa"/>
          </w:tblCellMar>
        </w:tblPrEx>
        <w:trPr>
          <w:trHeight w:val="1297"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放映指标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放映事故控制在</w:t>
            </w:r>
            <w:r>
              <w:rPr>
                <w:rFonts w:hint="eastAsia"/>
                <w:color w:val="000000"/>
                <w:sz w:val="24"/>
              </w:rPr>
              <w:t>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放映事故控制在</w:t>
            </w:r>
            <w:r>
              <w:rPr>
                <w:rFonts w:hint="eastAsia"/>
                <w:color w:val="000000"/>
                <w:sz w:val="24"/>
              </w:rPr>
              <w:t>5%</w:t>
            </w:r>
          </w:p>
        </w:tc>
      </w:tr>
      <w:tr>
        <w:tblPrEx>
          <w:tblCellMar>
            <w:top w:w="0" w:type="dxa"/>
            <w:left w:w="0" w:type="dxa"/>
            <w:bottom w:w="0" w:type="dxa"/>
            <w:right w:w="0" w:type="dxa"/>
          </w:tblCellMar>
        </w:tblPrEx>
        <w:trPr>
          <w:trHeight w:val="1042"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社会效益指标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放映优秀红色题材影片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放映优秀红色题材影片</w:t>
            </w:r>
          </w:p>
        </w:tc>
      </w:tr>
      <w:tr>
        <w:tblPrEx>
          <w:tblCellMar>
            <w:top w:w="0" w:type="dxa"/>
            <w:left w:w="0" w:type="dxa"/>
            <w:bottom w:w="0" w:type="dxa"/>
            <w:right w:w="0" w:type="dxa"/>
          </w:tblCellMar>
        </w:tblPrEx>
        <w:trPr>
          <w:trHeight w:val="1050" w:hRule="atLeast"/>
        </w:trPr>
        <w:tc>
          <w:tcPr>
            <w:tcW w:w="39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观众投诉量控制</w:t>
            </w:r>
            <w:r>
              <w:rPr>
                <w:rFonts w:hint="eastAsia"/>
                <w:color w:val="000000"/>
                <w:sz w:val="24"/>
              </w:rPr>
              <w:t>1%</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观众投诉量控制</w:t>
            </w:r>
            <w:r>
              <w:rPr>
                <w:rFonts w:hint="eastAsia"/>
                <w:color w:val="000000"/>
                <w:sz w:val="24"/>
              </w:rPr>
              <w:t>1%</w:t>
            </w:r>
          </w:p>
        </w:tc>
      </w:tr>
      <w:tr>
        <w:tblPrEx>
          <w:tblCellMar>
            <w:top w:w="0" w:type="dxa"/>
            <w:left w:w="0" w:type="dxa"/>
            <w:bottom w:w="0" w:type="dxa"/>
            <w:right w:w="0" w:type="dxa"/>
          </w:tblCellMar>
        </w:tblPrEx>
        <w:trPr>
          <w:trHeight w:val="1034" w:hRule="atLeast"/>
        </w:trPr>
        <w:tc>
          <w:tcPr>
            <w:tcW w:w="9959" w:type="dxa"/>
            <w:gridSpan w:val="6"/>
            <w:tcBorders>
              <w:top w:val="nil"/>
              <w:left w:val="nil"/>
              <w:bottom w:val="nil"/>
              <w:right w:val="nil"/>
            </w:tcBorders>
            <w:noWrap/>
            <w:tcMar>
              <w:top w:w="15" w:type="dxa"/>
              <w:left w:w="15" w:type="dxa"/>
              <w:right w:w="15" w:type="dxa"/>
            </w:tcMar>
            <w:vAlign w:val="center"/>
          </w:tcPr>
          <w:p>
            <w:pPr>
              <w:widowControl/>
              <w:spacing w:line="576" w:lineRule="exact"/>
              <w:jc w:val="center"/>
              <w:textAlignment w:val="center"/>
              <w:rPr>
                <w:color w:val="000000"/>
                <w:sz w:val="36"/>
                <w:szCs w:val="36"/>
              </w:rPr>
            </w:pPr>
            <w:r>
              <w:rPr>
                <w:b/>
                <w:bCs/>
                <w:color w:val="000000"/>
                <w:kern w:val="0"/>
                <w:sz w:val="36"/>
                <w:szCs w:val="36"/>
              </w:rPr>
              <w:t>项目绩效目标完成情况表</w:t>
            </w:r>
            <w:r>
              <w:rPr>
                <w:b/>
                <w:bCs/>
                <w:color w:val="000000"/>
                <w:kern w:val="0"/>
                <w:sz w:val="36"/>
                <w:szCs w:val="36"/>
              </w:rPr>
              <w:br w:type="textWrapping"/>
            </w:r>
            <w:r>
              <w:rPr>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eastAsia="仿宋_GB2312"/>
                <w:color w:val="000000"/>
                <w:sz w:val="32"/>
                <w:szCs w:val="32"/>
              </w:rPr>
              <w:t>农村电影影片订购费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阿坝州电影服务中心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32.5万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32.5万</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32.5万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rFonts w:hint="eastAsia"/>
                <w:color w:val="000000"/>
                <w:sz w:val="24"/>
              </w:rPr>
              <w:t>32.5万</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spacing w:line="576" w:lineRule="exact"/>
              <w:jc w:val="center"/>
              <w:rPr>
                <w:color w:val="000000"/>
                <w:sz w:val="24"/>
              </w:rPr>
            </w:pPr>
            <w:r>
              <w:rPr>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hd w:val="clear" w:color="auto" w:fill="FFFFFF"/>
              <w:spacing w:before="68" w:after="68" w:line="576" w:lineRule="exact"/>
              <w:ind w:firstLine="640" w:firstLineChars="200"/>
              <w:jc w:val="left"/>
              <w:rPr>
                <w:rFonts w:eastAsia="仿宋_GB2312"/>
                <w:color w:val="000000"/>
                <w:kern w:val="0"/>
                <w:sz w:val="32"/>
                <w:szCs w:val="32"/>
              </w:rPr>
            </w:pPr>
            <w:r>
              <w:rPr>
                <w:rFonts w:eastAsia="仿宋_GB2312"/>
                <w:color w:val="000000"/>
                <w:kern w:val="0"/>
                <w:sz w:val="32"/>
                <w:szCs w:val="32"/>
              </w:rPr>
              <w:t>全州1354个行政村，每月一场电影，全年共16248场电影。</w:t>
            </w:r>
          </w:p>
          <w:p>
            <w:pPr>
              <w:widowControl/>
              <w:spacing w:line="576" w:lineRule="exact"/>
              <w:jc w:val="center"/>
              <w:textAlignment w:val="center"/>
              <w:rPr>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hd w:val="clear" w:color="auto" w:fill="FFFFFF"/>
              <w:spacing w:before="68" w:after="68" w:line="576" w:lineRule="exact"/>
              <w:ind w:firstLine="640" w:firstLineChars="200"/>
              <w:jc w:val="left"/>
              <w:rPr>
                <w:rFonts w:eastAsia="仿宋_GB2312"/>
                <w:color w:val="000000"/>
                <w:kern w:val="0"/>
                <w:sz w:val="32"/>
                <w:szCs w:val="32"/>
              </w:rPr>
            </w:pPr>
            <w:r>
              <w:rPr>
                <w:rFonts w:eastAsia="仿宋_GB2312"/>
                <w:color w:val="000000"/>
                <w:kern w:val="0"/>
                <w:sz w:val="32"/>
                <w:szCs w:val="32"/>
              </w:rPr>
              <w:t>全州1354个行政村，每月一场电影，全年共16248场电影。</w:t>
            </w:r>
          </w:p>
          <w:p>
            <w:pPr>
              <w:widowControl/>
              <w:spacing w:line="576" w:lineRule="exact"/>
              <w:jc w:val="center"/>
              <w:textAlignment w:val="center"/>
              <w:rPr>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频次达标率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电影放映频次达标率</w:t>
            </w:r>
            <w:r>
              <w:rPr>
                <w:rFonts w:hint="eastAsia"/>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电影放映频次达标率</w:t>
            </w:r>
            <w:r>
              <w:rPr>
                <w:rFonts w:hint="eastAsia"/>
                <w:color w:val="000000"/>
                <w:sz w:val="24"/>
              </w:rPr>
              <w:t>100%</w:t>
            </w:r>
          </w:p>
        </w:tc>
      </w:tr>
      <w:tr>
        <w:tblPrEx>
          <w:tblCellMar>
            <w:top w:w="0" w:type="dxa"/>
            <w:left w:w="0" w:type="dxa"/>
            <w:bottom w:w="0" w:type="dxa"/>
            <w:right w:w="0" w:type="dxa"/>
          </w:tblCellMar>
        </w:tblPrEx>
        <w:trPr>
          <w:trHeight w:val="1297"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质量指标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丰富影片种类达标率</w:t>
            </w:r>
            <w:r>
              <w:rPr>
                <w:rFonts w:hint="eastAsia"/>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丰富影片种类达标率</w:t>
            </w:r>
            <w:r>
              <w:rPr>
                <w:rFonts w:hint="eastAsia"/>
                <w:color w:val="000000"/>
                <w:sz w:val="24"/>
              </w:rPr>
              <w:t>95%</w:t>
            </w:r>
          </w:p>
        </w:tc>
      </w:tr>
      <w:tr>
        <w:tblPrEx>
          <w:tblCellMar>
            <w:top w:w="0" w:type="dxa"/>
            <w:left w:w="0" w:type="dxa"/>
            <w:bottom w:w="0" w:type="dxa"/>
            <w:right w:w="0" w:type="dxa"/>
          </w:tblCellMar>
        </w:tblPrEx>
        <w:trPr>
          <w:trHeight w:val="1050" w:hRule="atLeast"/>
        </w:trPr>
        <w:tc>
          <w:tcPr>
            <w:tcW w:w="39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kern w:val="0"/>
                <w:sz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观众满意度达标率</w:t>
            </w:r>
          </w:p>
          <w:p>
            <w:pPr>
              <w:widowControl/>
              <w:spacing w:line="576" w:lineRule="exact"/>
              <w:jc w:val="center"/>
              <w:textAlignment w:val="center"/>
              <w:rPr>
                <w:color w:val="000000"/>
                <w:sz w:val="24"/>
              </w:rPr>
            </w:pPr>
            <w:r>
              <w:rPr>
                <w:rFonts w:hint="eastAsia"/>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576" w:lineRule="exact"/>
              <w:jc w:val="center"/>
              <w:textAlignment w:val="center"/>
              <w:rPr>
                <w:color w:val="000000"/>
                <w:sz w:val="24"/>
              </w:rPr>
            </w:pPr>
            <w:r>
              <w:rPr>
                <w:color w:val="000000"/>
                <w:sz w:val="24"/>
              </w:rPr>
              <w:t>观众满意度达标率</w:t>
            </w:r>
          </w:p>
          <w:p>
            <w:pPr>
              <w:widowControl/>
              <w:spacing w:line="576" w:lineRule="exact"/>
              <w:jc w:val="center"/>
              <w:textAlignment w:val="center"/>
              <w:rPr>
                <w:color w:val="000000"/>
                <w:sz w:val="24"/>
              </w:rPr>
            </w:pPr>
            <w:r>
              <w:rPr>
                <w:rFonts w:hint="eastAsia"/>
                <w:color w:val="000000"/>
                <w:sz w:val="24"/>
              </w:rPr>
              <w:t>95%</w:t>
            </w:r>
          </w:p>
        </w:tc>
      </w:tr>
    </w:tbl>
    <w:p>
      <w:pPr>
        <w:widowControl/>
        <w:spacing w:line="576" w:lineRule="exact"/>
        <w:jc w:val="left"/>
        <w:rPr>
          <w:rFonts w:eastAsia="仿宋_GB2312"/>
          <w:b/>
          <w:color w:val="000000"/>
          <w:sz w:val="32"/>
          <w:szCs w:val="32"/>
        </w:rPr>
      </w:pPr>
    </w:p>
    <w:p>
      <w:pPr>
        <w:tabs>
          <w:tab w:val="left" w:pos="0"/>
          <w:tab w:val="left" w:pos="2226"/>
          <w:tab w:val="center" w:pos="5533"/>
        </w:tabs>
        <w:spacing w:line="576" w:lineRule="exact"/>
        <w:jc w:val="left"/>
        <w:outlineLvl w:val="0"/>
        <w:rPr>
          <w:rFonts w:eastAsia="黑体"/>
          <w:color w:val="000000"/>
          <w:sz w:val="44"/>
          <w:szCs w:val="44"/>
        </w:rPr>
      </w:pPr>
      <w:bookmarkStart w:id="105" w:name="_Toc15377225"/>
      <w:bookmarkStart w:id="106" w:name="_Toc79163629"/>
      <w:bookmarkStart w:id="107" w:name="_Toc15396613"/>
      <w:bookmarkStart w:id="108" w:name="_Toc79163879"/>
    </w:p>
    <w:p>
      <w:pPr>
        <w:tabs>
          <w:tab w:val="left" w:pos="0"/>
          <w:tab w:val="left" w:pos="2226"/>
          <w:tab w:val="center" w:pos="5533"/>
        </w:tabs>
        <w:spacing w:line="576" w:lineRule="exact"/>
        <w:jc w:val="left"/>
        <w:outlineLvl w:val="0"/>
        <w:rPr>
          <w:rFonts w:eastAsia="黑体"/>
          <w:color w:val="000000"/>
          <w:sz w:val="44"/>
          <w:szCs w:val="44"/>
        </w:rPr>
      </w:pPr>
    </w:p>
    <w:p>
      <w:pPr>
        <w:tabs>
          <w:tab w:val="left" w:pos="0"/>
          <w:tab w:val="left" w:pos="2226"/>
          <w:tab w:val="center" w:pos="5533"/>
        </w:tabs>
        <w:spacing w:line="576" w:lineRule="exact"/>
        <w:jc w:val="left"/>
        <w:outlineLvl w:val="0"/>
        <w:rPr>
          <w:rFonts w:eastAsia="黑体"/>
          <w:color w:val="000000"/>
          <w:sz w:val="44"/>
          <w:szCs w:val="44"/>
        </w:rPr>
      </w:pPr>
    </w:p>
    <w:p>
      <w:pPr>
        <w:tabs>
          <w:tab w:val="left" w:pos="0"/>
          <w:tab w:val="left" w:pos="2226"/>
          <w:tab w:val="center" w:pos="5533"/>
        </w:tabs>
        <w:spacing w:line="576" w:lineRule="exact"/>
        <w:jc w:val="left"/>
        <w:outlineLvl w:val="0"/>
        <w:rPr>
          <w:rFonts w:eastAsia="黑体"/>
          <w:color w:val="000000"/>
          <w:sz w:val="44"/>
          <w:szCs w:val="44"/>
        </w:rPr>
      </w:pPr>
      <w:r>
        <w:rPr>
          <w:rFonts w:hint="eastAsia" w:eastAsia="黑体"/>
          <w:color w:val="000000"/>
          <w:sz w:val="44"/>
          <w:szCs w:val="44"/>
        </w:rPr>
        <w:tab/>
      </w: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Fonts w:eastAsia="黑体"/>
          <w:color w:val="000000"/>
          <w:sz w:val="44"/>
          <w:szCs w:val="44"/>
        </w:rPr>
      </w:pPr>
    </w:p>
    <w:p>
      <w:pPr>
        <w:tabs>
          <w:tab w:val="left" w:pos="0"/>
          <w:tab w:val="left" w:pos="2226"/>
          <w:tab w:val="center" w:pos="5533"/>
        </w:tabs>
        <w:spacing w:line="576" w:lineRule="exact"/>
        <w:ind w:firstLine="1760" w:firstLineChars="400"/>
        <w:jc w:val="left"/>
        <w:outlineLvl w:val="0"/>
        <w:rPr>
          <w:rStyle w:val="24"/>
          <w:rFonts w:eastAsia="黑体"/>
          <w:b w:val="0"/>
          <w:color w:val="000000"/>
        </w:rPr>
      </w:pPr>
      <w:r>
        <w:rPr>
          <w:rFonts w:hint="eastAsia" w:eastAsia="黑体"/>
          <w:color w:val="000000"/>
          <w:sz w:val="44"/>
          <w:szCs w:val="44"/>
        </w:rPr>
        <w:t xml:space="preserve">第三部分  </w:t>
      </w:r>
      <w:r>
        <w:rPr>
          <w:rFonts w:eastAsia="黑体"/>
          <w:color w:val="000000"/>
          <w:sz w:val="44"/>
          <w:szCs w:val="44"/>
        </w:rPr>
        <w:t>名</w:t>
      </w:r>
      <w:r>
        <w:rPr>
          <w:rStyle w:val="24"/>
          <w:rFonts w:eastAsia="黑体"/>
          <w:b w:val="0"/>
          <w:color w:val="000000"/>
        </w:rPr>
        <w:t>词解释</w:t>
      </w:r>
      <w:bookmarkEnd w:id="105"/>
      <w:bookmarkEnd w:id="106"/>
      <w:bookmarkEnd w:id="107"/>
      <w:bookmarkEnd w:id="108"/>
    </w:p>
    <w:p>
      <w:pPr>
        <w:spacing w:line="576" w:lineRule="exact"/>
        <w:jc w:val="left"/>
        <w:rPr>
          <w:b/>
          <w:color w:val="000000"/>
          <w:sz w:val="44"/>
          <w:szCs w:val="44"/>
        </w:rPr>
      </w:pP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1.财政拨款收入：指单位从同级财政部门取得的财政预算资金。</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2.事业收入：指事业单位开展专业业务活动及辅助活动取得的收入。</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3.经营收入：指事业单位在专业业务活动及其辅助活动之外开展非独立核算经营活动取得的收入。</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 xml:space="preserve">4.其他收入：指单位取得的除上述收入以外的各项收入。主要是…（收入类型）等。 </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 xml:space="preserve">5.使用非财政拨款结余：指事业单位使用以前年度积累的非财政拨款结余弥补当年收支差额的金额。 </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 xml:space="preserve">6.年初结转和结余：指以前年度尚未完成、结转到本年按有关规定继续使用的资金。 </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7.结余分配：指事业单位按照会计制度规定缴纳的所得税、提取的专用结余以及转入非财政拨款结余的金额等。</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8、年末结转和结余：指单位按有关规定结转到下年或以后年度继续使用的资金。</w:t>
      </w:r>
    </w:p>
    <w:p>
      <w:pPr>
        <w:spacing w:line="576" w:lineRule="exact"/>
        <w:ind w:firstLine="640" w:firstLineChars="200"/>
        <w:rPr>
          <w:rFonts w:eastAsia="仿宋_GB2312"/>
          <w:color w:val="000000"/>
          <w:sz w:val="32"/>
          <w:szCs w:val="32"/>
        </w:rPr>
      </w:pPr>
      <w:r>
        <w:rPr>
          <w:rFonts w:eastAsia="仿宋_GB2312"/>
          <w:color w:val="000000"/>
          <w:sz w:val="32"/>
          <w:szCs w:val="32"/>
        </w:rPr>
        <w:t>9.基本支出：指为保障机构正常运转、完成日常工作任务而发生的人员支出和公用支出。</w:t>
      </w:r>
    </w:p>
    <w:p>
      <w:pPr>
        <w:spacing w:line="576" w:lineRule="exact"/>
        <w:ind w:firstLine="640" w:firstLineChars="200"/>
        <w:rPr>
          <w:rFonts w:eastAsia="仿宋_GB2312"/>
          <w:color w:val="000000"/>
          <w:sz w:val="32"/>
          <w:szCs w:val="32"/>
        </w:rPr>
      </w:pPr>
      <w:r>
        <w:rPr>
          <w:rFonts w:eastAsia="仿宋_GB2312"/>
          <w:color w:val="000000"/>
          <w:sz w:val="32"/>
          <w:szCs w:val="32"/>
        </w:rPr>
        <w:t xml:space="preserve">10.项目支出：指在基本支出之外为完成特定行政任务和事业发展目标所发生的支出。 </w:t>
      </w:r>
    </w:p>
    <w:p>
      <w:pPr>
        <w:spacing w:line="576" w:lineRule="exact"/>
        <w:ind w:firstLine="640" w:firstLineChars="200"/>
        <w:rPr>
          <w:rFonts w:eastAsia="仿宋_GB2312"/>
          <w:color w:val="000000"/>
          <w:sz w:val="32"/>
          <w:szCs w:val="32"/>
        </w:rPr>
      </w:pPr>
      <w:r>
        <w:rPr>
          <w:rFonts w:eastAsia="仿宋_GB2312"/>
          <w:color w:val="000000"/>
          <w:sz w:val="32"/>
          <w:szCs w:val="32"/>
        </w:rPr>
        <w:t>11.经营支出：指事业单位在专业业务活动及其辅助活动之外开展非独立核算经营活动发生的支出。</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12.“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adjustRightInd/>
        <w:spacing w:line="576" w:lineRule="exact"/>
        <w:ind w:firstLine="640" w:firstLineChars="200"/>
        <w:rPr>
          <w:rFonts w:ascii="Times New Roman" w:eastAsia="仿宋_GB2312" w:cs="Times New Roman"/>
          <w:sz w:val="32"/>
          <w:szCs w:val="32"/>
        </w:rPr>
      </w:pPr>
      <w:r>
        <w:rPr>
          <w:rFonts w:ascii="Times New Roman" w:eastAsia="仿宋_GB2312" w:cs="Times New Roman"/>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
        <w:spacing w:line="576" w:lineRule="exact"/>
        <w:jc w:val="center"/>
        <w:rPr>
          <w:rStyle w:val="25"/>
          <w:rFonts w:asciiTheme="majorEastAsia" w:hAnsiTheme="majorEastAsia" w:eastAsiaTheme="majorEastAsia"/>
          <w:b w:val="0"/>
          <w:bCs w:val="0"/>
          <w:color w:val="000000"/>
          <w:sz w:val="44"/>
          <w:szCs w:val="44"/>
        </w:rPr>
      </w:pPr>
    </w:p>
    <w:p>
      <w:pPr>
        <w:pStyle w:val="3"/>
        <w:spacing w:line="576" w:lineRule="exact"/>
        <w:jc w:val="center"/>
        <w:rPr>
          <w:rStyle w:val="25"/>
          <w:rFonts w:asciiTheme="majorEastAsia" w:hAnsiTheme="majorEastAsia" w:eastAsiaTheme="majorEastAsia"/>
          <w:b w:val="0"/>
          <w:bCs w:val="0"/>
          <w:color w:val="000000"/>
          <w:sz w:val="44"/>
          <w:szCs w:val="44"/>
        </w:rPr>
      </w:pPr>
    </w:p>
    <w:p>
      <w:pPr>
        <w:pStyle w:val="3"/>
        <w:spacing w:line="576" w:lineRule="exact"/>
        <w:jc w:val="center"/>
        <w:rPr>
          <w:rStyle w:val="25"/>
          <w:rFonts w:asciiTheme="majorEastAsia" w:hAnsiTheme="majorEastAsia" w:eastAsiaTheme="majorEastAsia"/>
          <w:b w:val="0"/>
          <w:bCs w:val="0"/>
          <w:color w:val="000000"/>
          <w:sz w:val="44"/>
          <w:szCs w:val="44"/>
        </w:rPr>
      </w:pPr>
    </w:p>
    <w:p>
      <w:pPr>
        <w:pStyle w:val="3"/>
        <w:spacing w:line="576" w:lineRule="exact"/>
        <w:jc w:val="center"/>
        <w:rPr>
          <w:rStyle w:val="25"/>
          <w:rFonts w:asciiTheme="majorEastAsia" w:hAnsiTheme="majorEastAsia" w:eastAsiaTheme="majorEastAsia"/>
          <w:b w:val="0"/>
          <w:bCs w:val="0"/>
          <w:color w:val="000000"/>
          <w:sz w:val="44"/>
          <w:szCs w:val="44"/>
        </w:rPr>
      </w:pPr>
    </w:p>
    <w:p>
      <w:pPr>
        <w:pStyle w:val="3"/>
        <w:spacing w:line="576" w:lineRule="exact"/>
        <w:jc w:val="center"/>
        <w:rPr>
          <w:rStyle w:val="25"/>
          <w:rFonts w:asciiTheme="majorEastAsia" w:hAnsiTheme="majorEastAsia" w:eastAsiaTheme="majorEastAsia"/>
          <w:b w:val="0"/>
          <w:bCs w:val="0"/>
          <w:color w:val="000000"/>
          <w:sz w:val="44"/>
          <w:szCs w:val="44"/>
        </w:rPr>
      </w:pPr>
      <w:r>
        <w:rPr>
          <w:rStyle w:val="25"/>
          <w:rFonts w:hint="eastAsia" w:asciiTheme="majorEastAsia" w:hAnsiTheme="majorEastAsia" w:eastAsiaTheme="majorEastAsia"/>
          <w:b w:val="0"/>
          <w:bCs w:val="0"/>
          <w:color w:val="000000"/>
          <w:sz w:val="44"/>
          <w:szCs w:val="44"/>
        </w:rPr>
        <w:t>第四部分 附件</w:t>
      </w:r>
    </w:p>
    <w:p>
      <w:pPr>
        <w:pStyle w:val="3"/>
        <w:spacing w:line="576" w:lineRule="exact"/>
        <w:rPr>
          <w:rStyle w:val="25"/>
          <w:rFonts w:asciiTheme="majorEastAsia" w:hAnsiTheme="majorEastAsia" w:eastAsiaTheme="majorEastAsia"/>
          <w:b w:val="0"/>
          <w:bCs w:val="0"/>
          <w:color w:val="000000"/>
          <w:sz w:val="44"/>
          <w:szCs w:val="44"/>
        </w:rPr>
      </w:pPr>
      <w:r>
        <w:rPr>
          <w:rStyle w:val="25"/>
          <w:rFonts w:hint="eastAsia" w:asciiTheme="majorEastAsia" w:hAnsiTheme="majorEastAsia" w:eastAsiaTheme="majorEastAsia"/>
          <w:b w:val="0"/>
          <w:bCs w:val="0"/>
          <w:color w:val="000000"/>
          <w:sz w:val="44"/>
          <w:szCs w:val="44"/>
        </w:rPr>
        <w:t>附件1</w:t>
      </w:r>
    </w:p>
    <w:p>
      <w:pPr>
        <w:pStyle w:val="3"/>
        <w:spacing w:line="576" w:lineRule="exact"/>
        <w:rPr>
          <w:rStyle w:val="25"/>
          <w:rFonts w:ascii="Times New Roman" w:hAnsi="Times New Roman" w:eastAsia="仿宋"/>
          <w:b w:val="0"/>
          <w:bCs w:val="0"/>
          <w:color w:val="000000"/>
        </w:rPr>
      </w:pPr>
    </w:p>
    <w:p>
      <w:pPr>
        <w:pStyle w:val="9"/>
        <w:jc w:val="center"/>
        <w:rPr>
          <w:rFonts w:hAnsi="宋体" w:cs="宋体"/>
          <w:b/>
          <w:sz w:val="44"/>
          <w:szCs w:val="44"/>
        </w:rPr>
      </w:pPr>
      <w:r>
        <w:rPr>
          <w:rFonts w:hint="eastAsia" w:hAnsi="宋体" w:cs="宋体"/>
          <w:b/>
          <w:sz w:val="44"/>
          <w:szCs w:val="44"/>
        </w:rPr>
        <w:t>阿坝州电影服务中心</w:t>
      </w:r>
    </w:p>
    <w:p>
      <w:pPr>
        <w:pStyle w:val="9"/>
        <w:jc w:val="center"/>
        <w:rPr>
          <w:rFonts w:hAnsi="宋体" w:cs="宋体"/>
          <w:b/>
          <w:sz w:val="44"/>
          <w:szCs w:val="44"/>
        </w:rPr>
      </w:pPr>
      <w:r>
        <w:rPr>
          <w:rFonts w:hint="eastAsia" w:hAnsi="宋体" w:cs="宋体"/>
          <w:b/>
          <w:sz w:val="44"/>
          <w:szCs w:val="44"/>
        </w:rPr>
        <w:t>2020年部门整体支出绩效报告范本</w:t>
      </w:r>
    </w:p>
    <w:p>
      <w:pPr>
        <w:pStyle w:val="9"/>
        <w:rPr>
          <w:rFonts w:ascii="黑体" w:hAnsi="宋体" w:eastAsia="黑体" w:cs="宋体"/>
          <w:b/>
          <w:sz w:val="32"/>
          <w:szCs w:val="32"/>
        </w:rPr>
      </w:pPr>
      <w:r>
        <w:rPr>
          <w:rFonts w:hint="eastAsia" w:ascii="黑体" w:hAnsi="宋体" w:eastAsia="黑体" w:cs="宋体"/>
          <w:b/>
          <w:sz w:val="32"/>
          <w:szCs w:val="32"/>
        </w:rPr>
        <w:t>一、 部门（单位）概况</w:t>
      </w:r>
    </w:p>
    <w:p>
      <w:pPr>
        <w:pStyle w:val="9"/>
        <w:rPr>
          <w:rFonts w:ascii="仿宋_GB2312" w:hAnsi="宋体" w:eastAsia="仿宋_GB2312" w:cs="宋体"/>
          <w:sz w:val="32"/>
          <w:szCs w:val="32"/>
        </w:rPr>
      </w:pPr>
      <w:r>
        <w:rPr>
          <w:rFonts w:hint="eastAsia" w:ascii="仿宋_GB2312" w:hAnsi="宋体" w:eastAsia="仿宋_GB2312" w:cs="宋体"/>
          <w:sz w:val="32"/>
          <w:szCs w:val="32"/>
        </w:rPr>
        <w:t>（一）单位基本情况</w:t>
      </w:r>
    </w:p>
    <w:p>
      <w:pPr>
        <w:pStyle w:val="9"/>
        <w:rPr>
          <w:rFonts w:ascii="仿宋_GB2312" w:hAnsi="宋体" w:eastAsia="仿宋_GB2312" w:cs="宋体"/>
          <w:sz w:val="32"/>
          <w:szCs w:val="32"/>
        </w:rPr>
      </w:pPr>
      <w:r>
        <w:rPr>
          <w:rFonts w:hint="eastAsia" w:hAnsi="宋体" w:cs="宋体"/>
        </w:rPr>
        <w:t>　　</w:t>
      </w:r>
      <w:r>
        <w:rPr>
          <w:rFonts w:hint="eastAsia" w:ascii="仿宋_GB2312" w:hAnsi="宋体" w:eastAsia="仿宋_GB2312" w:cs="宋体"/>
          <w:sz w:val="32"/>
          <w:szCs w:val="32"/>
        </w:rPr>
        <w:t>阿坝藏族羌族自治州电影服务中心成立于1959年1月1日，1998年州人民政府确定为公益性差额拨款事业单位，2014年9月，经全州事业单位分类改革确定为公益二类事业单位，2014年1月，阿坝州编制委员会将“阿坝藏族羌族自治州电影发行放映公司”更名为“阿坝藏族羌族自治州电影服务中心”，2019年6月隶属于州委宣传部。</w:t>
      </w:r>
    </w:p>
    <w:p>
      <w:pPr>
        <w:pStyle w:val="9"/>
        <w:rPr>
          <w:rFonts w:ascii="仿宋_GB2312" w:hAnsi="宋体" w:eastAsia="仿宋_GB2312" w:cs="宋体"/>
          <w:sz w:val="32"/>
          <w:szCs w:val="32"/>
        </w:rPr>
      </w:pPr>
      <w:r>
        <w:rPr>
          <w:rFonts w:hint="eastAsia" w:ascii="仿宋_GB2312" w:hAnsi="宋体" w:eastAsia="仿宋_GB2312" w:cs="宋体"/>
          <w:sz w:val="32"/>
          <w:szCs w:val="32"/>
        </w:rPr>
        <w:t>（二） 职能职责:州电影服务中心承担着宣传和弘扬社会主义先进文化的重要责任，是党和政府传播精神文明的窗口和宣传阵地。主要负责全州农村公益电影放映、组织管理、影片发行、培训、督导和协助主管部门搞好城市影院建设、经营管理等服务性工作。</w:t>
      </w:r>
    </w:p>
    <w:p>
      <w:pPr>
        <w:pStyle w:val="9"/>
        <w:rPr>
          <w:rFonts w:ascii="仿宋_GB2312" w:hAnsi="宋体" w:eastAsia="仿宋_GB2312" w:cs="宋体"/>
          <w:sz w:val="32"/>
          <w:szCs w:val="32"/>
        </w:rPr>
      </w:pPr>
      <w:r>
        <w:rPr>
          <w:rFonts w:hint="eastAsia" w:ascii="仿宋_GB2312" w:hAnsi="宋体" w:eastAsia="仿宋_GB2312" w:cs="宋体"/>
          <w:sz w:val="32"/>
          <w:szCs w:val="32"/>
        </w:rPr>
        <w:t>（三）部门机构设置和人员情况内部机构设置。2室、1中心、1院（电影院），即：办公室、财务室，农村数字电影中心，影城（影院）。</w:t>
      </w:r>
    </w:p>
    <w:p>
      <w:pPr>
        <w:pStyle w:val="9"/>
        <w:rPr>
          <w:rFonts w:ascii="仿宋_GB2312" w:hAnsi="宋体" w:eastAsia="仿宋_GB2312" w:cs="宋体"/>
          <w:sz w:val="32"/>
          <w:szCs w:val="32"/>
        </w:rPr>
      </w:pPr>
      <w:r>
        <w:rPr>
          <w:rFonts w:hint="eastAsia" w:ascii="仿宋_GB2312" w:hAnsi="宋体" w:eastAsia="仿宋_GB2312" w:cs="宋体"/>
          <w:sz w:val="32"/>
          <w:szCs w:val="32"/>
        </w:rPr>
        <w:t>四、 现有人员情况和人员配备情况。中心实有编制16名，在编在岗14人。</w:t>
      </w:r>
    </w:p>
    <w:p>
      <w:pPr>
        <w:pStyle w:val="9"/>
        <w:rPr>
          <w:rFonts w:ascii="仿宋_GB2312" w:hAnsi="宋体" w:eastAsia="仿宋_GB2312" w:cs="宋体"/>
          <w:sz w:val="32"/>
          <w:szCs w:val="32"/>
        </w:rPr>
      </w:pPr>
      <w:r>
        <w:rPr>
          <w:rFonts w:hint="eastAsia" w:ascii="仿宋_GB2312" w:hAnsi="宋体" w:eastAsia="仿宋_GB2312" w:cs="宋体"/>
          <w:sz w:val="32"/>
          <w:szCs w:val="32"/>
        </w:rPr>
        <w:t>五、 1.管理岗3人。其中主任岗位1名 ，管理岗七级A；副主任岗位2名，双肩挑1名，管理岗八级A1名。</w:t>
      </w:r>
    </w:p>
    <w:p>
      <w:pPr>
        <w:pStyle w:val="9"/>
        <w:rPr>
          <w:rFonts w:ascii="仿宋_GB2312" w:hAnsi="宋体" w:eastAsia="仿宋_GB2312" w:cs="宋体"/>
          <w:sz w:val="32"/>
          <w:szCs w:val="32"/>
        </w:rPr>
      </w:pPr>
      <w:r>
        <w:rPr>
          <w:rFonts w:hint="eastAsia" w:ascii="仿宋_GB2312" w:hAnsi="宋体" w:eastAsia="仿宋_GB2312" w:cs="宋体"/>
          <w:sz w:val="32"/>
          <w:szCs w:val="32"/>
        </w:rPr>
        <w:t>六、 2.专业技术岗11人。其中中级8人（1人享受副高）：专业技术八级3人，专业技术九级2人，专业技术十级3人；初级4人：专业技术十一级3人，专业技术十二级1人；1人未定级。</w:t>
      </w:r>
    </w:p>
    <w:p>
      <w:pPr>
        <w:pStyle w:val="9"/>
        <w:rPr>
          <w:rFonts w:ascii="仿宋_GB2312" w:hAnsi="宋体" w:eastAsia="仿宋_GB2312" w:cs="宋体"/>
          <w:sz w:val="32"/>
          <w:szCs w:val="32"/>
        </w:rPr>
      </w:pPr>
    </w:p>
    <w:p>
      <w:pPr>
        <w:pStyle w:val="9"/>
        <w:rPr>
          <w:rFonts w:ascii="黑体" w:hAnsi="宋体" w:eastAsia="黑体" w:cs="宋体"/>
          <w:sz w:val="32"/>
          <w:szCs w:val="32"/>
        </w:rPr>
      </w:pPr>
      <w:r>
        <w:rPr>
          <w:rFonts w:hint="eastAsia" w:ascii="黑体" w:hAnsi="宋体" w:eastAsia="黑体" w:cs="宋体"/>
          <w:sz w:val="32"/>
          <w:szCs w:val="32"/>
        </w:rPr>
        <w:t>二、部门财政资金收支情</w:t>
      </w:r>
    </w:p>
    <w:p>
      <w:pPr>
        <w:pStyle w:val="9"/>
        <w:rPr>
          <w:rFonts w:ascii="黑体" w:hAnsi="宋体" w:eastAsia="黑体" w:cs="宋体"/>
          <w:sz w:val="32"/>
          <w:szCs w:val="32"/>
        </w:rPr>
      </w:pPr>
      <w:r>
        <w:rPr>
          <w:rFonts w:hint="eastAsia" w:ascii="黑体" w:hAnsi="宋体" w:eastAsia="黑体" w:cs="宋体"/>
          <w:sz w:val="32"/>
          <w:szCs w:val="32"/>
        </w:rPr>
        <w:t>（一）部门财政资金收入情况。</w:t>
      </w:r>
    </w:p>
    <w:p>
      <w:pPr>
        <w:widowControl/>
        <w:spacing w:line="448" w:lineRule="atLeast"/>
        <w:ind w:firstLine="472"/>
        <w:rPr>
          <w:rFonts w:ascii="仿宋_GB2312" w:hAnsi="宋体" w:eastAsia="仿宋_GB2312" w:cs="宋体"/>
          <w:b/>
          <w:color w:val="000000"/>
          <w:spacing w:val="-2"/>
          <w:kern w:val="0"/>
          <w:sz w:val="32"/>
          <w:szCs w:val="32"/>
        </w:rPr>
      </w:pPr>
      <w:r>
        <w:rPr>
          <w:rFonts w:hint="eastAsia" w:ascii="仿宋_GB2312" w:hAnsi="宋体" w:eastAsia="仿宋_GB2312" w:cs="宋体"/>
          <w:sz w:val="32"/>
          <w:szCs w:val="32"/>
        </w:rPr>
        <w:t xml:space="preserve">   2020年阿坝州电影服务中心本年收入合计</w:t>
      </w:r>
      <w:r>
        <w:rPr>
          <w:rFonts w:hint="eastAsia" w:ascii="仿宋_GB2312" w:hAnsi="宋体" w:eastAsia="仿宋_GB2312" w:cs="宋体"/>
          <w:color w:val="0D0D0D"/>
          <w:sz w:val="32"/>
          <w:szCs w:val="32"/>
        </w:rPr>
        <w:t>312.60</w:t>
      </w:r>
      <w:r>
        <w:rPr>
          <w:rFonts w:hint="eastAsia" w:ascii="仿宋_GB2312" w:hAnsi="宋体" w:eastAsia="仿宋_GB2312" w:cs="宋体"/>
          <w:sz w:val="32"/>
          <w:szCs w:val="32"/>
        </w:rPr>
        <w:t>万元，比上年减少</w:t>
      </w:r>
      <w:r>
        <w:rPr>
          <w:rFonts w:hint="eastAsia" w:ascii="仿宋_GB2312" w:hAnsi="宋体" w:eastAsia="仿宋_GB2312" w:cs="宋体"/>
          <w:color w:val="000000"/>
          <w:sz w:val="32"/>
          <w:szCs w:val="32"/>
        </w:rPr>
        <w:t>17.52%，</w:t>
      </w:r>
      <w:r>
        <w:rPr>
          <w:rFonts w:hint="eastAsia" w:ascii="仿宋_GB2312" w:hAnsi="宋体" w:eastAsia="仿宋_GB2312" w:cs="宋体"/>
          <w:color w:val="000000"/>
          <w:spacing w:val="-2"/>
          <w:kern w:val="0"/>
          <w:sz w:val="32"/>
          <w:szCs w:val="32"/>
        </w:rPr>
        <w:t>主要原因是受疫情影响，营业收入减少。</w:t>
      </w:r>
    </w:p>
    <w:p>
      <w:pPr>
        <w:widowControl/>
        <w:spacing w:line="448" w:lineRule="atLeast"/>
        <w:ind w:firstLine="472"/>
        <w:rPr>
          <w:rFonts w:ascii="仿宋_GB2312" w:hAnsi="宋体" w:eastAsia="仿宋_GB2312" w:cs="宋体"/>
          <w:color w:val="000000"/>
          <w:spacing w:val="-2"/>
          <w:kern w:val="0"/>
          <w:sz w:val="32"/>
          <w:szCs w:val="32"/>
        </w:rPr>
      </w:pPr>
      <w:r>
        <w:rPr>
          <w:rFonts w:hint="eastAsia" w:ascii="仿宋_GB2312" w:hAnsi="宋体" w:eastAsia="仿宋_GB2312" w:cs="宋体"/>
          <w:sz w:val="32"/>
          <w:szCs w:val="32"/>
        </w:rPr>
        <w:t>2020年阿坝州电影服务中心本年支出合计</w:t>
      </w:r>
      <w:r>
        <w:rPr>
          <w:rFonts w:hint="eastAsia" w:ascii="仿宋_GB2312" w:hAnsi="宋体" w:eastAsia="仿宋_GB2312" w:cs="宋体"/>
          <w:color w:val="0D0D0D"/>
          <w:sz w:val="32"/>
          <w:szCs w:val="32"/>
        </w:rPr>
        <w:t>345.73</w:t>
      </w:r>
      <w:r>
        <w:rPr>
          <w:rFonts w:hint="eastAsia" w:ascii="仿宋_GB2312" w:hAnsi="宋体" w:eastAsia="仿宋_GB2312" w:cs="宋体"/>
          <w:sz w:val="32"/>
          <w:szCs w:val="32"/>
        </w:rPr>
        <w:t>万元，其中：基本支出</w:t>
      </w:r>
      <w:r>
        <w:rPr>
          <w:rFonts w:hint="eastAsia" w:ascii="仿宋_GB2312" w:hAnsi="宋体" w:eastAsia="仿宋_GB2312" w:cs="宋体"/>
          <w:color w:val="0D0D0D"/>
          <w:sz w:val="32"/>
          <w:szCs w:val="32"/>
        </w:rPr>
        <w:t>273.23</w:t>
      </w:r>
      <w:r>
        <w:rPr>
          <w:rFonts w:hint="eastAsia" w:ascii="仿宋_GB2312" w:hAnsi="宋体" w:eastAsia="仿宋_GB2312" w:cs="宋体"/>
          <w:sz w:val="32"/>
          <w:szCs w:val="32"/>
        </w:rPr>
        <w:t>万元，项目支出72.5万元。比上年减少</w:t>
      </w:r>
      <w:r>
        <w:rPr>
          <w:rFonts w:hint="eastAsia" w:ascii="仿宋_GB2312" w:hAnsi="宋体" w:eastAsia="仿宋_GB2312" w:cs="宋体"/>
          <w:color w:val="000000"/>
          <w:sz w:val="32"/>
          <w:szCs w:val="32"/>
        </w:rPr>
        <w:t>33.17%，</w:t>
      </w:r>
      <w:r>
        <w:rPr>
          <w:rFonts w:hint="eastAsia" w:ascii="仿宋_GB2312" w:hAnsi="宋体" w:eastAsia="仿宋_GB2312" w:cs="宋体"/>
          <w:sz w:val="32"/>
          <w:szCs w:val="32"/>
        </w:rPr>
        <w:t>主要</w:t>
      </w:r>
      <w:r>
        <w:rPr>
          <w:rFonts w:hint="eastAsia" w:ascii="仿宋_GB2312" w:hAnsi="宋体" w:eastAsia="仿宋_GB2312" w:cs="宋体"/>
          <w:color w:val="000000"/>
          <w:spacing w:val="-2"/>
          <w:kern w:val="0"/>
          <w:sz w:val="32"/>
          <w:szCs w:val="32"/>
        </w:rPr>
        <w:t>原因是受疫情影响，工作未开展。</w:t>
      </w:r>
    </w:p>
    <w:p>
      <w:pPr>
        <w:pStyle w:val="9"/>
        <w:rPr>
          <w:rFonts w:ascii="仿宋_GB2312" w:hAnsi="宋体" w:eastAsia="仿宋_GB2312" w:cs="宋体"/>
          <w:b/>
          <w:color w:val="000000"/>
          <w:spacing w:val="-2"/>
          <w:kern w:val="0"/>
          <w:sz w:val="32"/>
          <w:szCs w:val="32"/>
        </w:rPr>
      </w:pPr>
    </w:p>
    <w:tbl>
      <w:tblPr>
        <w:tblStyle w:val="20"/>
        <w:tblW w:w="5000" w:type="pct"/>
        <w:tblInd w:w="0" w:type="dxa"/>
        <w:tblLayout w:type="autofit"/>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trHeight w:val="80" w:hRule="atLeast"/>
        </w:trPr>
        <w:tc>
          <w:tcPr>
            <w:tcW w:w="5000" w:type="pct"/>
            <w:vAlign w:val="center"/>
          </w:tcPr>
          <w:p>
            <w:pPr>
              <w:widowControl/>
              <w:spacing w:line="80" w:lineRule="atLeast"/>
              <w:rPr>
                <w:rFonts w:ascii="黑体" w:eastAsia="黑体" w:cs="宋体"/>
                <w:color w:val="000000"/>
                <w:kern w:val="0"/>
                <w:sz w:val="24"/>
              </w:rPr>
            </w:pPr>
            <w:bookmarkStart w:id="109" w:name="收入预决算对比分析表"/>
          </w:p>
        </w:tc>
      </w:tr>
      <w:bookmarkEnd w:id="109"/>
    </w:tbl>
    <w:p>
      <w:pPr>
        <w:pStyle w:val="9"/>
        <w:rPr>
          <w:rFonts w:ascii="黑体" w:hAnsi="宋体" w:eastAsia="黑体" w:cs="宋体"/>
          <w:b/>
          <w:sz w:val="32"/>
          <w:szCs w:val="32"/>
        </w:rPr>
      </w:pPr>
      <w:r>
        <w:rPr>
          <w:rFonts w:hint="eastAsia" w:ascii="黑体" w:hAnsi="宋体" w:eastAsia="黑体" w:cs="宋体"/>
          <w:b/>
          <w:sz w:val="32"/>
          <w:szCs w:val="32"/>
        </w:rPr>
        <w:t>（二）部门财政资金支出情况。</w:t>
      </w:r>
    </w:p>
    <w:p>
      <w:pPr>
        <w:ind w:firstLine="640" w:firstLineChars="200"/>
        <w:rPr>
          <w:rFonts w:ascii="Calibri" w:hAnsi="Calibri" w:eastAsia="仿宋_GB2312"/>
          <w:b/>
          <w:color w:val="0D0D0D"/>
          <w:sz w:val="32"/>
          <w:szCs w:val="32"/>
        </w:rPr>
      </w:pPr>
      <w:r>
        <w:rPr>
          <w:rFonts w:hint="eastAsia" w:ascii="仿宋_GB2312" w:hAnsi="宋体" w:eastAsia="仿宋_GB2312"/>
          <w:sz w:val="32"/>
          <w:szCs w:val="32"/>
        </w:rPr>
        <w:t>2020年总支出</w:t>
      </w:r>
      <w:r>
        <w:rPr>
          <w:rFonts w:hint="eastAsia" w:ascii="仿宋_GB2312" w:hAnsi="宋体" w:eastAsia="仿宋_GB2312"/>
          <w:color w:val="0D0D0D"/>
          <w:sz w:val="32"/>
          <w:szCs w:val="32"/>
        </w:rPr>
        <w:t>345.73</w:t>
      </w:r>
      <w:r>
        <w:rPr>
          <w:rFonts w:hint="eastAsia" w:ascii="仿宋_GB2312" w:hAnsi="宋体" w:eastAsia="仿宋_GB2312" w:cs="宋体"/>
          <w:sz w:val="32"/>
          <w:szCs w:val="32"/>
        </w:rPr>
        <w:t>万元</w:t>
      </w:r>
      <w:r>
        <w:rPr>
          <w:rFonts w:hint="eastAsia" w:ascii="仿宋_GB2312" w:hAnsi="宋体" w:eastAsia="仿宋_GB2312"/>
          <w:sz w:val="32"/>
          <w:szCs w:val="32"/>
        </w:rPr>
        <w:t>，基本支出</w:t>
      </w:r>
      <w:r>
        <w:rPr>
          <w:rFonts w:hint="eastAsia" w:ascii="仿宋_GB2312" w:hAnsi="宋体" w:eastAsia="仿宋_GB2312" w:cs="宋体"/>
          <w:color w:val="0D0D0D"/>
          <w:sz w:val="32"/>
          <w:szCs w:val="32"/>
        </w:rPr>
        <w:t>273.23</w:t>
      </w:r>
      <w:r>
        <w:rPr>
          <w:rFonts w:hint="eastAsia" w:ascii="仿宋_GB2312" w:hAnsi="宋体" w:eastAsia="仿宋_GB2312" w:cs="宋体"/>
          <w:sz w:val="32"/>
          <w:szCs w:val="32"/>
        </w:rPr>
        <w:t>万元</w:t>
      </w:r>
      <w:r>
        <w:rPr>
          <w:rFonts w:hint="eastAsia" w:ascii="仿宋_GB2312" w:hAnsi="宋体" w:eastAsia="仿宋_GB2312"/>
          <w:sz w:val="32"/>
          <w:szCs w:val="32"/>
        </w:rPr>
        <w:t>，包括人员经费支出</w:t>
      </w:r>
      <w:r>
        <w:rPr>
          <w:rFonts w:hint="eastAsia" w:ascii="仿宋_GB2312" w:hAnsi="宋体" w:eastAsia="仿宋_GB2312"/>
          <w:color w:val="0D0D0D"/>
          <w:sz w:val="32"/>
          <w:szCs w:val="32"/>
        </w:rPr>
        <w:t>247.02</w:t>
      </w:r>
      <w:r>
        <w:rPr>
          <w:rFonts w:hint="eastAsia" w:ascii="仿宋_GB2312" w:hAnsi="宋体" w:eastAsia="仿宋_GB2312" w:cs="宋体"/>
          <w:sz w:val="32"/>
          <w:szCs w:val="32"/>
        </w:rPr>
        <w:t>万元</w:t>
      </w:r>
      <w:r>
        <w:rPr>
          <w:rFonts w:hint="eastAsia" w:ascii="仿宋_GB2312" w:hAnsi="宋体" w:eastAsia="仿宋_GB2312"/>
          <w:sz w:val="32"/>
          <w:szCs w:val="32"/>
        </w:rPr>
        <w:t>比上年减少</w:t>
      </w:r>
      <w:r>
        <w:rPr>
          <w:rFonts w:hint="eastAsia" w:ascii="仿宋_GB2312" w:hAnsi="宋体" w:eastAsia="仿宋_GB2312"/>
          <w:color w:val="0D0D0D"/>
          <w:sz w:val="32"/>
          <w:szCs w:val="32"/>
        </w:rPr>
        <w:t>21.17%，主要原因为2020年退休一人，调出一人。日常公用经费26.24</w:t>
      </w:r>
      <w:r>
        <w:rPr>
          <w:rFonts w:hint="eastAsia" w:ascii="仿宋_GB2312" w:hAnsi="宋体" w:eastAsia="仿宋_GB2312" w:cs="宋体"/>
          <w:sz w:val="32"/>
          <w:szCs w:val="32"/>
        </w:rPr>
        <w:t>万元</w:t>
      </w:r>
      <w:r>
        <w:rPr>
          <w:rFonts w:hint="eastAsia" w:ascii="仿宋_GB2312" w:hAnsi="宋体" w:eastAsia="仿宋_GB2312"/>
          <w:color w:val="0D0D0D"/>
          <w:sz w:val="32"/>
          <w:szCs w:val="32"/>
        </w:rPr>
        <w:t>，主要原因</w:t>
      </w:r>
      <w:r>
        <w:rPr>
          <w:rFonts w:hint="eastAsia" w:ascii="仿宋_GB2312" w:hAnsi="宋体" w:eastAsia="仿宋_GB2312" w:cs="宋体"/>
          <w:color w:val="000000"/>
          <w:spacing w:val="-2"/>
          <w:kern w:val="0"/>
          <w:sz w:val="32"/>
          <w:szCs w:val="32"/>
        </w:rPr>
        <w:t>受疫情影响，营业收入减少，节约成本减少开支</w:t>
      </w:r>
      <w:r>
        <w:rPr>
          <w:rFonts w:hint="eastAsia" w:ascii="仿宋_GB2312" w:hAnsi="宋体" w:eastAsia="仿宋_GB2312"/>
          <w:color w:val="0D0D0D"/>
          <w:sz w:val="32"/>
          <w:szCs w:val="32"/>
        </w:rPr>
        <w:t>；</w:t>
      </w:r>
      <w:r>
        <w:rPr>
          <w:rFonts w:hint="eastAsia" w:ascii="仿宋_GB2312" w:hAnsi="仿宋" w:eastAsia="仿宋_GB2312" w:cs="仿宋"/>
          <w:color w:val="000000"/>
          <w:sz w:val="32"/>
          <w:szCs w:val="32"/>
        </w:rPr>
        <w:t>其他商品服务支出5.18</w:t>
      </w:r>
      <w:r>
        <w:rPr>
          <w:rFonts w:hint="eastAsia" w:ascii="仿宋_GB2312" w:hAnsi="宋体" w:eastAsia="仿宋_GB2312" w:cs="宋体"/>
          <w:sz w:val="32"/>
          <w:szCs w:val="32"/>
        </w:rPr>
        <w:t>万元</w:t>
      </w:r>
      <w:r>
        <w:rPr>
          <w:rFonts w:hint="eastAsia" w:ascii="仿宋_GB2312" w:hAnsi="仿宋" w:eastAsia="仿宋_GB2312" w:cs="仿宋"/>
          <w:color w:val="000000"/>
          <w:sz w:val="32"/>
          <w:szCs w:val="32"/>
        </w:rPr>
        <w:t>，其中退休人员2.96</w:t>
      </w:r>
      <w:r>
        <w:rPr>
          <w:rFonts w:hint="eastAsia" w:ascii="仿宋_GB2312" w:hAnsi="宋体" w:eastAsia="仿宋_GB2312" w:cs="宋体"/>
          <w:sz w:val="32"/>
          <w:szCs w:val="32"/>
        </w:rPr>
        <w:t>万元</w:t>
      </w:r>
      <w:r>
        <w:rPr>
          <w:rFonts w:hint="eastAsia" w:ascii="仿宋_GB2312" w:hAnsi="仿宋" w:eastAsia="仿宋_GB2312" w:cs="仿宋"/>
          <w:color w:val="000000"/>
          <w:sz w:val="32"/>
          <w:szCs w:val="32"/>
        </w:rPr>
        <w:t>，支部活动费用0.63</w:t>
      </w:r>
      <w:r>
        <w:rPr>
          <w:rFonts w:hint="eastAsia" w:ascii="仿宋_GB2312" w:hAnsi="宋体" w:eastAsia="仿宋_GB2312" w:cs="宋体"/>
          <w:sz w:val="32"/>
          <w:szCs w:val="32"/>
        </w:rPr>
        <w:t>万元</w:t>
      </w:r>
      <w:r>
        <w:rPr>
          <w:rFonts w:hint="eastAsia" w:ascii="仿宋_GB2312" w:hAnsi="仿宋" w:eastAsia="仿宋_GB2312" w:cs="仿宋"/>
          <w:color w:val="000000"/>
          <w:sz w:val="32"/>
          <w:szCs w:val="32"/>
        </w:rPr>
        <w:t>，目标奖个税1.58</w:t>
      </w:r>
      <w:r>
        <w:rPr>
          <w:rFonts w:hint="eastAsia" w:ascii="仿宋_GB2312" w:hAnsi="宋体" w:eastAsia="仿宋_GB2312" w:cs="宋体"/>
          <w:sz w:val="32"/>
          <w:szCs w:val="32"/>
        </w:rPr>
        <w:t>万元</w:t>
      </w:r>
      <w:r>
        <w:rPr>
          <w:rFonts w:hint="eastAsia" w:ascii="仿宋_GB2312" w:hAnsi="仿宋" w:eastAsia="仿宋_GB2312" w:cs="仿宋"/>
          <w:color w:val="000000"/>
          <w:sz w:val="32"/>
          <w:szCs w:val="32"/>
        </w:rPr>
        <w:t>；其他对个人和家庭的补助支出1.2</w:t>
      </w:r>
      <w:r>
        <w:rPr>
          <w:rFonts w:hint="eastAsia" w:ascii="仿宋_GB2312" w:hAnsi="宋体" w:eastAsia="仿宋_GB2312" w:cs="宋体"/>
          <w:sz w:val="32"/>
          <w:szCs w:val="32"/>
        </w:rPr>
        <w:t>万元</w:t>
      </w:r>
      <w:r>
        <w:rPr>
          <w:rFonts w:hint="eastAsia" w:ascii="仿宋_GB2312" w:hAnsi="仿宋" w:eastAsia="仿宋_GB2312" w:cs="仿宋"/>
          <w:color w:val="000000"/>
          <w:sz w:val="32"/>
          <w:szCs w:val="32"/>
        </w:rPr>
        <w:t>，退休人员李健一次性建房补助；</w:t>
      </w:r>
      <w:r>
        <w:rPr>
          <w:rFonts w:hint="eastAsia" w:ascii="仿宋_GB2312" w:hAnsi="宋体" w:eastAsia="仿宋_GB2312"/>
          <w:sz w:val="32"/>
          <w:szCs w:val="32"/>
        </w:rPr>
        <w:t>项目支出72.5</w:t>
      </w:r>
      <w:r>
        <w:rPr>
          <w:rFonts w:hint="eastAsia" w:ascii="仿宋_GB2312" w:hAnsi="宋体" w:eastAsia="仿宋_GB2312" w:cs="宋体"/>
          <w:sz w:val="32"/>
          <w:szCs w:val="32"/>
        </w:rPr>
        <w:t>万元</w:t>
      </w:r>
      <w:r>
        <w:rPr>
          <w:rFonts w:hint="eastAsia" w:ascii="仿宋_GB2312" w:hAnsi="宋体" w:eastAsia="仿宋_GB2312"/>
          <w:sz w:val="32"/>
          <w:szCs w:val="32"/>
        </w:rPr>
        <w:t>，比上年减少33.17</w:t>
      </w:r>
      <w:r>
        <w:rPr>
          <w:rFonts w:eastAsia="仿宋_GB2312"/>
          <w:sz w:val="32"/>
          <w:szCs w:val="32"/>
        </w:rPr>
        <w:t>%</w:t>
      </w:r>
      <w:r>
        <w:rPr>
          <w:rFonts w:hint="eastAsia" w:eastAsia="仿宋_GB2312"/>
          <w:sz w:val="32"/>
          <w:szCs w:val="32"/>
        </w:rPr>
        <w:t>，疫情期间</w:t>
      </w:r>
      <w:r>
        <w:rPr>
          <w:rFonts w:hint="eastAsia" w:ascii="仿宋_GB2312" w:hAnsi="宋体" w:eastAsia="仿宋_GB2312"/>
          <w:sz w:val="32"/>
          <w:szCs w:val="32"/>
        </w:rPr>
        <w:t>影城纾困补助40</w:t>
      </w:r>
      <w:r>
        <w:rPr>
          <w:rFonts w:hint="eastAsia" w:ascii="仿宋_GB2312" w:hAnsi="宋体" w:eastAsia="仿宋_GB2312" w:cs="宋体"/>
          <w:sz w:val="32"/>
          <w:szCs w:val="32"/>
        </w:rPr>
        <w:t>万元</w:t>
      </w:r>
      <w:r>
        <w:rPr>
          <w:rFonts w:hint="eastAsia" w:ascii="仿宋_GB2312" w:hAnsi="宋体" w:eastAsia="仿宋_GB2312"/>
          <w:sz w:val="32"/>
          <w:szCs w:val="32"/>
        </w:rPr>
        <w:t>，用于影城工资社保27.10</w:t>
      </w:r>
      <w:r>
        <w:rPr>
          <w:rFonts w:hint="eastAsia" w:ascii="仿宋_GB2312" w:hAnsi="宋体" w:eastAsia="仿宋_GB2312" w:cs="宋体"/>
          <w:sz w:val="32"/>
          <w:szCs w:val="32"/>
        </w:rPr>
        <w:t>万元</w:t>
      </w:r>
      <w:r>
        <w:rPr>
          <w:rFonts w:hint="eastAsia" w:ascii="仿宋_GB2312" w:hAnsi="宋体" w:eastAsia="仿宋_GB2312"/>
          <w:sz w:val="32"/>
          <w:szCs w:val="32"/>
        </w:rPr>
        <w:t>，电费0.50</w:t>
      </w:r>
      <w:r>
        <w:rPr>
          <w:rFonts w:hint="eastAsia" w:ascii="仿宋_GB2312" w:hAnsi="宋体" w:eastAsia="仿宋_GB2312" w:cs="宋体"/>
          <w:sz w:val="32"/>
          <w:szCs w:val="32"/>
        </w:rPr>
        <w:t>万元</w:t>
      </w:r>
      <w:r>
        <w:rPr>
          <w:rFonts w:hint="eastAsia" w:ascii="仿宋_GB2312" w:hAnsi="宋体" w:eastAsia="仿宋_GB2312"/>
          <w:sz w:val="32"/>
          <w:szCs w:val="32"/>
        </w:rPr>
        <w:t>，物业管理5.95</w:t>
      </w:r>
      <w:r>
        <w:rPr>
          <w:rFonts w:hint="eastAsia" w:ascii="仿宋_GB2312" w:hAnsi="宋体" w:eastAsia="仿宋_GB2312" w:cs="宋体"/>
          <w:sz w:val="32"/>
          <w:szCs w:val="32"/>
        </w:rPr>
        <w:t>万元</w:t>
      </w:r>
      <w:r>
        <w:rPr>
          <w:rFonts w:hint="eastAsia" w:ascii="仿宋_GB2312" w:hAnsi="宋体" w:eastAsia="仿宋_GB2312"/>
          <w:sz w:val="32"/>
          <w:szCs w:val="32"/>
        </w:rPr>
        <w:t>，维修费3.6</w:t>
      </w:r>
      <w:r>
        <w:rPr>
          <w:rFonts w:hint="eastAsia" w:ascii="仿宋_GB2312" w:hAnsi="宋体" w:eastAsia="仿宋_GB2312" w:cs="宋体"/>
          <w:sz w:val="32"/>
          <w:szCs w:val="32"/>
        </w:rPr>
        <w:t>万元</w:t>
      </w:r>
      <w:r>
        <w:rPr>
          <w:rFonts w:hint="eastAsia" w:ascii="仿宋_GB2312" w:hAnsi="宋体" w:eastAsia="仿宋_GB2312"/>
          <w:sz w:val="32"/>
          <w:szCs w:val="32"/>
        </w:rPr>
        <w:t>，培训费2.84</w:t>
      </w:r>
      <w:r>
        <w:rPr>
          <w:rFonts w:hint="eastAsia" w:ascii="仿宋_GB2312" w:hAnsi="宋体" w:eastAsia="仿宋_GB2312" w:cs="宋体"/>
          <w:sz w:val="32"/>
          <w:szCs w:val="32"/>
        </w:rPr>
        <w:t>万元</w:t>
      </w:r>
      <w:r>
        <w:rPr>
          <w:rFonts w:hint="eastAsia" w:ascii="仿宋_GB2312" w:hAnsi="宋体" w:eastAsia="仿宋_GB2312"/>
          <w:sz w:val="32"/>
          <w:szCs w:val="32"/>
        </w:rPr>
        <w:t>。2020年农村公益电影影片订购费32.5</w:t>
      </w:r>
      <w:r>
        <w:rPr>
          <w:rFonts w:hint="eastAsia" w:ascii="仿宋_GB2312" w:hAnsi="宋体" w:eastAsia="仿宋_GB2312" w:cs="宋体"/>
          <w:sz w:val="32"/>
          <w:szCs w:val="32"/>
        </w:rPr>
        <w:t>万元</w:t>
      </w:r>
      <w:r>
        <w:rPr>
          <w:rFonts w:hint="eastAsia" w:ascii="仿宋_GB2312" w:hAnsi="宋体" w:eastAsia="仿宋_GB2312"/>
          <w:sz w:val="32"/>
          <w:szCs w:val="32"/>
        </w:rPr>
        <w:t>，农村电影影片订购费。</w:t>
      </w:r>
    </w:p>
    <w:p>
      <w:pPr>
        <w:widowControl/>
        <w:spacing w:line="80" w:lineRule="atLeast"/>
        <w:jc w:val="center"/>
        <w:rPr>
          <w:rFonts w:ascii="黑体" w:eastAsia="黑体" w:cs="宋体"/>
          <w:color w:val="000000"/>
          <w:kern w:val="0"/>
          <w:sz w:val="24"/>
        </w:rPr>
      </w:pPr>
    </w:p>
    <w:p>
      <w:pPr>
        <w:pStyle w:val="9"/>
        <w:rPr>
          <w:rFonts w:ascii="仿宋_GB2312" w:hAnsi="宋体" w:eastAsia="仿宋_GB2312" w:cs="宋体"/>
          <w:sz w:val="32"/>
          <w:szCs w:val="32"/>
        </w:rPr>
      </w:pPr>
      <w:r>
        <w:rPr>
          <w:rFonts w:hint="eastAsia" w:ascii="仿宋_GB2312" w:hAnsi="宋体" w:eastAsia="仿宋_GB2312" w:cs="宋体"/>
          <w:sz w:val="32"/>
          <w:szCs w:val="32"/>
        </w:rPr>
        <w:t xml:space="preserve">    2021年阿坝州电影服务中心1至5月支出合计167.82万元，其中，一般公共预算财政拨款支出167.82万元</w:t>
      </w:r>
    </w:p>
    <w:p>
      <w:pPr>
        <w:pStyle w:val="9"/>
        <w:rPr>
          <w:rFonts w:ascii="仿宋_GB2312" w:hAnsi="宋体" w:eastAsia="仿宋_GB2312" w:cs="宋体"/>
          <w:sz w:val="32"/>
          <w:szCs w:val="32"/>
        </w:rPr>
      </w:pPr>
      <w:r>
        <w:rPr>
          <w:rFonts w:hint="eastAsia" w:ascii="仿宋_GB2312" w:hAnsi="宋体" w:eastAsia="仿宋_GB2312" w:cs="宋体"/>
          <w:sz w:val="32"/>
          <w:szCs w:val="32"/>
        </w:rPr>
        <w:t xml:space="preserve">     </w:t>
      </w:r>
    </w:p>
    <w:p>
      <w:pPr>
        <w:pStyle w:val="9"/>
        <w:rPr>
          <w:rFonts w:ascii="黑体" w:hAnsi="宋体" w:eastAsia="黑体" w:cs="宋体"/>
          <w:sz w:val="32"/>
          <w:szCs w:val="32"/>
        </w:rPr>
      </w:pPr>
      <w:r>
        <w:rPr>
          <w:rFonts w:hint="eastAsia" w:hAnsi="宋体" w:cs="宋体"/>
        </w:rPr>
        <w:t xml:space="preserve">  </w:t>
      </w:r>
      <w:r>
        <w:rPr>
          <w:rFonts w:hint="eastAsia" w:ascii="黑体" w:hAnsi="宋体" w:eastAsia="黑体" w:cs="宋体"/>
          <w:sz w:val="32"/>
          <w:szCs w:val="32"/>
        </w:rPr>
        <w:t>三、部门财政支出管理情况</w:t>
      </w:r>
    </w:p>
    <w:p>
      <w:pPr>
        <w:pStyle w:val="9"/>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加强预算管理和执行力度，本着“以收定支，量入为出，保证重点”的原则，本年度严格按照有关规定和工作需要，合理、科学的对资金进行有序安排，基本支出按照月度均衡原则使用资金，年底预算执行率达91%。</w:t>
      </w:r>
    </w:p>
    <w:p>
      <w:pPr>
        <w:pStyle w:val="9"/>
        <w:rPr>
          <w:rFonts w:ascii="仿宋_GB2312" w:hAnsi="宋体" w:eastAsia="仿宋_GB2312" w:cs="宋体"/>
          <w:sz w:val="32"/>
          <w:szCs w:val="32"/>
        </w:rPr>
      </w:pPr>
      <w:r>
        <w:rPr>
          <w:rFonts w:hint="eastAsia" w:ascii="仿宋_GB2312" w:hAnsi="宋体" w:eastAsia="仿宋_GB2312" w:cs="宋体"/>
          <w:sz w:val="32"/>
          <w:szCs w:val="32"/>
        </w:rPr>
        <w:t xml:space="preserve">     2.严格按照财务管理制度和财经纪律，实现一把手管财务，两只笔签字的财务管理办法。接待费、差旅费、公务用车、办公用品等按照经办人申请、分管领导审核、单位主要负责人审签的办法执行。</w:t>
      </w:r>
    </w:p>
    <w:p>
      <w:pPr>
        <w:pStyle w:val="9"/>
        <w:rPr>
          <w:rFonts w:ascii="仿宋_GB2312" w:hAnsi="宋体" w:eastAsia="仿宋_GB2312" w:cs="宋体"/>
          <w:sz w:val="32"/>
          <w:szCs w:val="32"/>
        </w:rPr>
      </w:pPr>
      <w:r>
        <w:rPr>
          <w:rFonts w:hint="eastAsia" w:hAnsi="宋体" w:cs="宋体"/>
        </w:rPr>
        <w:t xml:space="preserve"> </w:t>
      </w:r>
      <w:r>
        <w:rPr>
          <w:rFonts w:hint="eastAsia" w:ascii="黑体" w:hAnsi="宋体" w:eastAsia="黑体" w:cs="宋体"/>
          <w:sz w:val="32"/>
          <w:szCs w:val="32"/>
        </w:rPr>
        <w:t>四、评价结论及建议</w:t>
      </w:r>
    </w:p>
    <w:p>
      <w:pPr>
        <w:pStyle w:val="9"/>
        <w:rPr>
          <w:rFonts w:ascii="黑体" w:hAnsi="宋体" w:eastAsia="黑体" w:cs="宋体"/>
          <w:sz w:val="32"/>
          <w:szCs w:val="32"/>
        </w:rPr>
      </w:pPr>
      <w:r>
        <w:rPr>
          <w:rFonts w:hint="eastAsia" w:ascii="黑体" w:hAnsi="宋体" w:eastAsia="黑体" w:cs="宋体"/>
          <w:sz w:val="32"/>
          <w:szCs w:val="32"/>
        </w:rPr>
        <w:t xml:space="preserve">  （一）评价结论。</w:t>
      </w:r>
    </w:p>
    <w:p>
      <w:pPr>
        <w:pStyle w:val="9"/>
        <w:rPr>
          <w:rFonts w:ascii="仿宋_GB2312" w:hAnsi="宋体" w:eastAsia="仿宋_GB2312" w:cs="宋体"/>
          <w:sz w:val="32"/>
          <w:szCs w:val="32"/>
        </w:rPr>
      </w:pPr>
      <w:r>
        <w:rPr>
          <w:rFonts w:hint="eastAsia" w:hAnsi="宋体" w:cs="宋体"/>
        </w:rPr>
        <w:t xml:space="preserve">   </w:t>
      </w:r>
      <w:r>
        <w:rPr>
          <w:rFonts w:hint="eastAsia" w:ascii="仿宋_GB2312" w:hAnsi="宋体" w:eastAsia="仿宋_GB2312" w:cs="宋体"/>
          <w:sz w:val="32"/>
          <w:szCs w:val="32"/>
        </w:rPr>
        <w:t xml:space="preserve">  </w:t>
      </w:r>
      <w:r>
        <w:rPr>
          <w:rFonts w:hint="eastAsia" w:ascii="仿宋_GB2312" w:eastAsia="仿宋_GB2312"/>
          <w:color w:val="333333"/>
          <w:sz w:val="32"/>
          <w:szCs w:val="32"/>
          <w:shd w:val="clear" w:color="auto" w:fill="FFFFFF"/>
        </w:rPr>
        <w:t>2020年度部门预算具有明确的用途和目标，制定了详细的执行计划，资金到位及时并严格按照财政有关规定使用。预算决策、管理、执行等日益规范，</w:t>
      </w:r>
      <w:r>
        <w:rPr>
          <w:rFonts w:hint="eastAsia" w:ascii="仿宋_GB2312" w:hAnsi="宋体" w:eastAsia="仿宋_GB2312" w:cs="宋体"/>
          <w:sz w:val="32"/>
          <w:szCs w:val="32"/>
        </w:rPr>
        <w:t>严格控制各项经费的开支，提高经费的使用效率。</w:t>
      </w:r>
    </w:p>
    <w:p>
      <w:pPr>
        <w:pStyle w:val="9"/>
        <w:ind w:firstLine="480" w:firstLineChars="150"/>
        <w:rPr>
          <w:rFonts w:ascii="仿宋_GB2312" w:hAnsi="宋体" w:eastAsia="仿宋_GB2312" w:cs="宋体"/>
          <w:sz w:val="32"/>
          <w:szCs w:val="32"/>
        </w:rPr>
      </w:pPr>
      <w:r>
        <w:rPr>
          <w:rFonts w:hint="eastAsia" w:ascii="仿宋_GB2312" w:hAnsi="宋体" w:eastAsia="仿宋_GB2312" w:cs="宋体"/>
          <w:sz w:val="32"/>
          <w:szCs w:val="32"/>
        </w:rPr>
        <w:t>按时将部门的预算、决算、绩效评价情况相关信息在阿坝州政务网公开上进行了公开。2020年严格按照支出绩效评价指标体系内容开展绩效管理工作，财务状况更加公开、透明。</w:t>
      </w:r>
    </w:p>
    <w:p>
      <w:pPr>
        <w:pStyle w:val="9"/>
        <w:rPr>
          <w:rFonts w:ascii="仿宋_GB2312" w:hAnsi="宋体" w:eastAsia="仿宋_GB2312" w:cs="宋体"/>
          <w:sz w:val="32"/>
          <w:szCs w:val="32"/>
        </w:rPr>
      </w:pPr>
    </w:p>
    <w:p>
      <w:pPr>
        <w:pStyle w:val="9"/>
        <w:rPr>
          <w:rFonts w:ascii="黑体" w:hAnsi="宋体" w:eastAsia="黑体" w:cs="宋体"/>
          <w:sz w:val="32"/>
          <w:szCs w:val="32"/>
        </w:rPr>
      </w:pPr>
      <w:r>
        <w:rPr>
          <w:rFonts w:hint="eastAsia" w:hAnsi="宋体" w:cs="宋体"/>
        </w:rPr>
        <w:t xml:space="preserve"> </w:t>
      </w:r>
      <w:r>
        <w:rPr>
          <w:rFonts w:hint="eastAsia" w:ascii="黑体" w:hAnsi="宋体" w:eastAsia="黑体" w:cs="宋体"/>
          <w:sz w:val="32"/>
          <w:szCs w:val="32"/>
        </w:rPr>
        <w:t>（二）存在问题。</w:t>
      </w:r>
    </w:p>
    <w:p>
      <w:pPr>
        <w:pStyle w:val="19"/>
        <w:shd w:val="clear" w:color="auto" w:fill="FFFFFF"/>
        <w:spacing w:before="0" w:beforeAutospacing="0" w:after="0" w:afterAutospacing="0"/>
        <w:ind w:firstLine="480"/>
        <w:jc w:val="both"/>
        <w:rPr>
          <w:rFonts w:ascii="仿宋_GB2312" w:hAnsi="微软雅黑" w:eastAsia="仿宋_GB2312"/>
          <w:color w:val="333333"/>
          <w:sz w:val="32"/>
          <w:szCs w:val="32"/>
        </w:rPr>
      </w:pPr>
      <w:r>
        <w:rPr>
          <w:rFonts w:hint="eastAsia"/>
        </w:rPr>
        <w:t xml:space="preserve">   </w:t>
      </w:r>
      <w:r>
        <w:rPr>
          <w:rFonts w:hint="eastAsia" w:ascii="仿宋_GB2312" w:eastAsia="仿宋_GB2312"/>
          <w:sz w:val="32"/>
          <w:szCs w:val="32"/>
        </w:rPr>
        <w:t>一、</w:t>
      </w:r>
      <w:r>
        <w:rPr>
          <w:rFonts w:hint="eastAsia" w:ascii="仿宋_GB2312" w:hAnsi="微软雅黑" w:eastAsia="仿宋_GB2312"/>
          <w:color w:val="333333"/>
          <w:sz w:val="32"/>
          <w:szCs w:val="32"/>
        </w:rPr>
        <w:t>绩效理念尚未牢固树立，绩效管理管理制度不健全。一是单位对全面实施绩效管理认识不够，单位内部绩效工作力量薄弱，多以财务人员牵头开展绩效管理，工作推动机制不全；二是相关人员绩效管理专业知识缺乏，表现为单位人员力量跟不上，单位从事预算绩效管理人员专业素质有待提升。</w:t>
      </w:r>
    </w:p>
    <w:p>
      <w:pPr>
        <w:pStyle w:val="19"/>
        <w:shd w:val="clear" w:color="auto" w:fill="FFFFFF"/>
        <w:spacing w:before="0" w:beforeAutospacing="0" w:after="0" w:afterAutospacing="0"/>
        <w:ind w:firstLine="480"/>
        <w:jc w:val="both"/>
        <w:rPr>
          <w:rFonts w:ascii="仿宋_GB2312" w:hAnsi="微软雅黑" w:eastAsia="仿宋_GB2312"/>
          <w:color w:val="333333"/>
          <w:sz w:val="32"/>
          <w:szCs w:val="32"/>
        </w:rPr>
      </w:pPr>
      <w:r>
        <w:rPr>
          <w:rFonts w:hint="eastAsia" w:ascii="仿宋_GB2312" w:hAnsi="微软雅黑" w:eastAsia="仿宋_GB2312"/>
          <w:color w:val="333333"/>
          <w:sz w:val="32"/>
          <w:szCs w:val="32"/>
        </w:rPr>
        <w:t>二、绩效评价深度不足，评价结果没有得到实质性应用。单位绩效自评报告质量不高。单位绩效自评报告多局限于描述项目实施状况，对问题避重就轻，同时，各项目的自评打分松紧不一，导致项目之间评价结果不可比，最终导致部门单位内部没有针对问题查找原因并将结果应用到单位财务管理、业务管理中去。</w:t>
      </w:r>
    </w:p>
    <w:p>
      <w:pPr>
        <w:pStyle w:val="9"/>
        <w:rPr>
          <w:rFonts w:ascii="黑体" w:hAnsi="宋体" w:eastAsia="黑体" w:cs="宋体"/>
          <w:sz w:val="32"/>
          <w:szCs w:val="32"/>
        </w:rPr>
      </w:pPr>
      <w:r>
        <w:rPr>
          <w:rFonts w:hint="eastAsia" w:ascii="黑体" w:hAnsi="宋体" w:eastAsia="黑体" w:cs="宋体"/>
          <w:sz w:val="32"/>
          <w:szCs w:val="32"/>
        </w:rPr>
        <w:t>（三）改进建议。</w:t>
      </w:r>
    </w:p>
    <w:p>
      <w:pPr>
        <w:pStyle w:val="9"/>
        <w:rPr>
          <w:rFonts w:ascii="仿宋_GB2312" w:hAnsi="宋体" w:eastAsia="仿宋_GB2312" w:cs="宋体"/>
          <w:sz w:val="32"/>
          <w:szCs w:val="32"/>
        </w:rPr>
      </w:pPr>
      <w:r>
        <w:rPr>
          <w:rFonts w:hint="eastAsia" w:hAnsi="宋体" w:cs="宋体"/>
        </w:rPr>
        <w:t>　　</w:t>
      </w:r>
      <w:r>
        <w:rPr>
          <w:rFonts w:hint="eastAsia" w:ascii="仿宋_GB2312" w:hAnsi="宋体" w:eastAsia="仿宋_GB2312" w:cs="宋体"/>
          <w:sz w:val="32"/>
          <w:szCs w:val="32"/>
        </w:rPr>
        <w:t>1、细化预算编制工作，认真做好预算的编制。进一步加强单位内部机构各科室的预算管理意识，严格按照预算编制的相关制度和要求进行预算编制。</w:t>
      </w:r>
    </w:p>
    <w:p>
      <w:pPr>
        <w:pStyle w:val="9"/>
        <w:rPr>
          <w:rFonts w:ascii="仿宋_GB2312" w:hAnsi="宋体" w:eastAsia="仿宋_GB2312" w:cs="宋体"/>
          <w:sz w:val="32"/>
          <w:szCs w:val="32"/>
        </w:rPr>
      </w:pPr>
      <w:r>
        <w:rPr>
          <w:rFonts w:hint="eastAsia" w:ascii="仿宋_GB2312" w:hAnsi="宋体" w:eastAsia="仿宋_GB2312" w:cs="宋体"/>
          <w:sz w:val="32"/>
          <w:szCs w:val="32"/>
        </w:rPr>
        <w:t>　　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9"/>
        <w:rPr>
          <w:rFonts w:ascii="仿宋_GB2312" w:hAnsi="宋体" w:eastAsia="仿宋_GB2312" w:cs="宋体"/>
          <w:sz w:val="32"/>
          <w:szCs w:val="32"/>
        </w:rPr>
      </w:pPr>
      <w:r>
        <w:rPr>
          <w:rFonts w:hint="eastAsia" w:ascii="仿宋_GB2312" w:hAnsi="宋体" w:eastAsia="仿宋_GB2312" w:cs="宋体"/>
          <w:sz w:val="32"/>
          <w:szCs w:val="32"/>
        </w:rPr>
        <w:t>　　3、完善资产管理。规范各类资产的购置审批制度、资产处置和报废审批制度、资产管理岗位职责制度等，加强单位内部的资产管理工作。</w:t>
      </w:r>
    </w:p>
    <w:p>
      <w:pPr>
        <w:pStyle w:val="9"/>
        <w:rPr>
          <w:rFonts w:ascii="仿宋_GB2312" w:hAnsi="宋体" w:eastAsia="仿宋_GB2312" w:cs="宋体"/>
          <w:sz w:val="32"/>
          <w:szCs w:val="32"/>
        </w:rPr>
      </w:pPr>
    </w:p>
    <w:p>
      <w:pPr>
        <w:pStyle w:val="3"/>
        <w:spacing w:line="576" w:lineRule="exact"/>
        <w:rPr>
          <w:rStyle w:val="25"/>
          <w:rFonts w:ascii="Times New Roman" w:hAnsi="Times New Roman" w:eastAsia="仿宋"/>
          <w:b w:val="0"/>
          <w:bCs w:val="0"/>
          <w:color w:val="000000"/>
        </w:rPr>
      </w:pPr>
    </w:p>
    <w:p>
      <w:pPr>
        <w:pStyle w:val="3"/>
        <w:spacing w:line="576" w:lineRule="exact"/>
        <w:rPr>
          <w:rStyle w:val="25"/>
          <w:rFonts w:ascii="Times New Roman" w:hAnsi="Times New Roman" w:eastAsia="仿宋"/>
          <w:b w:val="0"/>
          <w:bCs w:val="0"/>
          <w:color w:val="000000"/>
        </w:rPr>
      </w:pPr>
    </w:p>
    <w:p>
      <w:pPr>
        <w:pStyle w:val="3"/>
        <w:spacing w:line="576" w:lineRule="exact"/>
        <w:rPr>
          <w:rStyle w:val="25"/>
          <w:rFonts w:asciiTheme="majorEastAsia" w:hAnsiTheme="majorEastAsia" w:eastAsiaTheme="majorEastAsia"/>
          <w:b w:val="0"/>
          <w:bCs w:val="0"/>
          <w:color w:val="000000"/>
          <w:sz w:val="44"/>
          <w:szCs w:val="44"/>
        </w:rPr>
      </w:pPr>
      <w:r>
        <w:rPr>
          <w:rStyle w:val="25"/>
          <w:rFonts w:hint="eastAsia" w:asciiTheme="majorEastAsia" w:hAnsiTheme="majorEastAsia" w:eastAsiaTheme="majorEastAsia"/>
          <w:b w:val="0"/>
          <w:bCs w:val="0"/>
          <w:color w:val="000000"/>
          <w:sz w:val="44"/>
          <w:szCs w:val="44"/>
        </w:rPr>
        <w:t>附件2</w:t>
      </w:r>
    </w:p>
    <w:p>
      <w:pPr>
        <w:pStyle w:val="3"/>
        <w:spacing w:line="576" w:lineRule="exact"/>
        <w:rPr>
          <w:rStyle w:val="25"/>
          <w:rFonts w:ascii="Times New Roman" w:hAnsi="Times New Roman" w:eastAsia="仿宋"/>
          <w:b w:val="0"/>
          <w:bCs w:val="0"/>
          <w:color w:val="000000"/>
        </w:rPr>
      </w:pPr>
    </w:p>
    <w:p>
      <w:pPr>
        <w:widowControl/>
        <w:shd w:val="clear" w:color="auto" w:fill="FFFFFF"/>
        <w:spacing w:before="68" w:after="68"/>
        <w:jc w:val="center"/>
        <w:rPr>
          <w:rFonts w:ascii="宋体" w:hAnsi="宋体" w:cs="宋体"/>
          <w:b/>
          <w:color w:val="4A4A4A"/>
          <w:kern w:val="0"/>
          <w:sz w:val="44"/>
          <w:szCs w:val="44"/>
        </w:rPr>
      </w:pPr>
      <w:r>
        <w:rPr>
          <w:rFonts w:hint="eastAsia" w:ascii="宋体" w:hAnsi="宋体" w:cs="宋体"/>
          <w:b/>
          <w:color w:val="4A4A4A"/>
          <w:kern w:val="0"/>
          <w:sz w:val="44"/>
          <w:szCs w:val="44"/>
        </w:rPr>
        <w:t>疫情期间纾困资金补助</w:t>
      </w:r>
    </w:p>
    <w:p>
      <w:pPr>
        <w:widowControl/>
        <w:shd w:val="clear" w:color="auto" w:fill="FFFFFF"/>
        <w:spacing w:before="68" w:after="68"/>
        <w:jc w:val="center"/>
        <w:rPr>
          <w:rFonts w:ascii="宋体" w:hAnsi="宋体" w:cs="宋体"/>
          <w:b/>
          <w:color w:val="4A4A4A"/>
          <w:kern w:val="0"/>
          <w:sz w:val="44"/>
          <w:szCs w:val="44"/>
        </w:rPr>
      </w:pPr>
      <w:r>
        <w:rPr>
          <w:rFonts w:hint="eastAsia" w:ascii="宋体" w:hAnsi="宋体" w:cs="宋体"/>
          <w:b/>
          <w:color w:val="4A4A4A"/>
          <w:kern w:val="0"/>
          <w:sz w:val="44"/>
          <w:szCs w:val="44"/>
        </w:rPr>
        <w:t>项目支出绩效自评报告</w:t>
      </w:r>
    </w:p>
    <w:p>
      <w:pPr>
        <w:widowControl/>
        <w:shd w:val="clear" w:color="auto" w:fill="FFFFFF"/>
        <w:spacing w:before="68" w:after="68"/>
        <w:jc w:val="center"/>
        <w:rPr>
          <w:rFonts w:ascii="宋体" w:hAnsi="宋体" w:cs="宋体"/>
          <w:b/>
          <w:color w:val="4A4A4A"/>
          <w:kern w:val="0"/>
          <w:sz w:val="44"/>
          <w:szCs w:val="44"/>
        </w:rPr>
      </w:pPr>
    </w:p>
    <w:p>
      <w:pPr>
        <w:widowControl/>
        <w:shd w:val="clear" w:color="auto" w:fill="FFFFFF"/>
        <w:spacing w:before="68" w:after="68"/>
        <w:jc w:val="left"/>
        <w:rPr>
          <w:rFonts w:ascii="仿宋_GB2312" w:hAnsi="宋体" w:eastAsia="仿宋_GB2312" w:cs="宋体"/>
          <w:b/>
          <w:color w:val="4A4A4A"/>
          <w:kern w:val="0"/>
          <w:sz w:val="32"/>
          <w:szCs w:val="32"/>
        </w:rPr>
      </w:pPr>
      <w:r>
        <w:rPr>
          <w:rFonts w:hint="eastAsia" w:ascii="仿宋_GB2312" w:hAnsi="宋体" w:eastAsia="仿宋_GB2312" w:cs="宋体"/>
          <w:b/>
          <w:color w:val="4A4A4A"/>
          <w:kern w:val="0"/>
          <w:sz w:val="32"/>
          <w:szCs w:val="32"/>
        </w:rPr>
        <w:t>一、项目概况</w:t>
      </w:r>
    </w:p>
    <w:p>
      <w:pPr>
        <w:widowControl/>
        <w:shd w:val="clear" w:color="auto" w:fill="FFFFFF"/>
        <w:spacing w:before="68" w:after="68"/>
        <w:ind w:firstLine="645"/>
        <w:jc w:val="left"/>
        <w:rPr>
          <w:rFonts w:hAnsi="仿宋_GB2312" w:eastAsia="仿宋_GB2312"/>
          <w:sz w:val="32"/>
          <w:szCs w:val="32"/>
        </w:rPr>
      </w:pPr>
      <w:r>
        <w:rPr>
          <w:rFonts w:hint="eastAsia" w:ascii="仿宋_GB2312" w:hAnsi="宋体" w:eastAsia="仿宋_GB2312" w:cs="宋体"/>
          <w:color w:val="4A4A4A"/>
          <w:kern w:val="0"/>
          <w:sz w:val="32"/>
          <w:szCs w:val="32"/>
        </w:rPr>
        <w:t>基本情况：</w:t>
      </w:r>
      <w:r>
        <w:rPr>
          <w:rFonts w:eastAsia="仿宋_GB2312"/>
          <w:sz w:val="32"/>
          <w:szCs w:val="32"/>
        </w:rPr>
        <w:t>2020</w:t>
      </w:r>
      <w:r>
        <w:rPr>
          <w:rFonts w:hAnsi="仿宋_GB2312" w:eastAsia="仿宋_GB2312"/>
          <w:sz w:val="32"/>
          <w:szCs w:val="32"/>
        </w:rPr>
        <w:t>年开年以来，受疫情影响，全州电影放映工作全部停滞，行业遭受了巨大冲击。为积极响应国家政策，做好电影单位在疫情期间的自强自救，</w:t>
      </w:r>
      <w:r>
        <w:rPr>
          <w:rFonts w:hint="eastAsia" w:hAnsi="仿宋_GB2312" w:eastAsia="仿宋_GB2312"/>
          <w:sz w:val="32"/>
          <w:szCs w:val="32"/>
        </w:rPr>
        <w:t>马尔康太平洋电影城无法经营，影城临聘人员11人生活补助及购买五险费用较大，影城临聘人员属于编外人员，财政无法保证人员经费，影城日常开支无法支付。</w:t>
      </w:r>
    </w:p>
    <w:p>
      <w:pPr>
        <w:widowControl/>
        <w:shd w:val="clear" w:color="auto" w:fill="FFFFFF"/>
        <w:spacing w:before="68" w:after="68"/>
        <w:ind w:firstLine="645"/>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主要内容及实施情况：</w:t>
      </w:r>
      <w:r>
        <w:rPr>
          <w:rFonts w:hint="eastAsia" w:eastAsia="仿宋_GB2312"/>
          <w:sz w:val="32"/>
          <w:szCs w:val="32"/>
        </w:rPr>
        <w:t>疫情期间</w:t>
      </w:r>
      <w:r>
        <w:rPr>
          <w:rFonts w:hint="eastAsia" w:ascii="仿宋_GB2312" w:hAnsi="宋体" w:eastAsia="仿宋_GB2312"/>
          <w:sz w:val="32"/>
          <w:szCs w:val="32"/>
        </w:rPr>
        <w:t>影城纾困补助400000万，用于影城工资社保271043.64元，电费18090.02元，物业管理46508.34元，维修费36000元，培训费28358元。</w:t>
      </w:r>
    </w:p>
    <w:p>
      <w:pPr>
        <w:widowControl/>
        <w:shd w:val="clear" w:color="auto" w:fill="FFFFFF"/>
        <w:spacing w:before="68" w:after="68"/>
        <w:ind w:firstLine="465"/>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资金投入和使用情况：年初预算安排４０万元，已使用４０万元。</w:t>
      </w:r>
    </w:p>
    <w:p>
      <w:pPr>
        <w:widowControl/>
        <w:shd w:val="clear" w:color="auto" w:fill="FFFFFF"/>
        <w:spacing w:before="68" w:after="68"/>
        <w:jc w:val="left"/>
        <w:rPr>
          <w:rFonts w:ascii="宋体" w:hAnsi="宋体" w:cs="宋体"/>
          <w:color w:val="4A4A4A"/>
          <w:kern w:val="0"/>
          <w:sz w:val="24"/>
        </w:rPr>
      </w:pPr>
      <w:r>
        <w:rPr>
          <w:rFonts w:hint="eastAsia" w:ascii="宋体" w:hAnsi="宋体" w:cs="宋体"/>
          <w:color w:val="4A4A4A"/>
          <w:kern w:val="0"/>
          <w:sz w:val="24"/>
        </w:rPr>
        <w:t>　</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宋体" w:hAnsi="宋体" w:cs="宋体"/>
          <w:color w:val="4A4A4A"/>
          <w:kern w:val="0"/>
          <w:sz w:val="24"/>
        </w:rPr>
        <w:t>　　</w:t>
      </w:r>
      <w:r>
        <w:rPr>
          <w:rFonts w:hint="eastAsia" w:ascii="仿宋_GB2312" w:hAnsi="宋体" w:eastAsia="仿宋_GB2312" w:cs="宋体"/>
          <w:color w:val="4A4A4A"/>
          <w:kern w:val="0"/>
          <w:sz w:val="32"/>
          <w:szCs w:val="32"/>
        </w:rPr>
        <w:t>（二）项目绩效目标</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总体目标：保障马尔康太平洋影城在疫情期间临时工工资及社保费，日常支出费用。</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二、评价工作开展情况</w:t>
      </w:r>
    </w:p>
    <w:p>
      <w:pPr>
        <w:widowControl/>
        <w:shd w:val="clear" w:color="auto" w:fill="FFFFFF"/>
        <w:spacing w:before="68" w:after="68"/>
        <w:ind w:firstLine="645"/>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1、评价组织情况：前期准备。一是加强组织领导。成立由主要领导任组长、分管领导任副组长，各业务科室负责人为成员的绩效评价领导小组和办公室，统一安排部署2020年度绩效评价工作；二是确定评价范围。项目支出绩效评价包括州财政局2020年部门项目支出；三是制定评价指标表。单位围绕2020年年初确定的重点工作目标及州委州政府2020年度综合考核指标要求，梳理了各项工作的完成情况，制定了项目支出绩效评价指标。组织实施。在年度预算执行过程中，由绩效评价领导小组办公室牵头对等项目进行了督促检查工作，要求各项目科室对2020年所有财政支出项目开展自评。</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2.评价指标体系</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宋体" w:hAnsi="宋体" w:cs="宋体"/>
          <w:color w:val="4A4A4A"/>
          <w:kern w:val="0"/>
          <w:sz w:val="24"/>
        </w:rPr>
        <w:t>　　</w:t>
      </w:r>
      <w:r>
        <w:rPr>
          <w:rFonts w:hint="eastAsia" w:ascii="仿宋_GB2312" w:hAnsi="宋体" w:eastAsia="仿宋_GB2312" w:cs="宋体"/>
          <w:color w:val="4A4A4A"/>
          <w:kern w:val="0"/>
          <w:sz w:val="32"/>
          <w:szCs w:val="32"/>
        </w:rPr>
        <w:t>本次项目支出绩效评价，根据《阿坝州财政局关于开展2021年部门、政策和项目支出绩效评价工作的通知》（阿州〔2021〕11号）文件要求，以及项目预算申报情况，本次项目支出绩效指标体系主要分为4个指标，分别为：项目预算执行情况10分，产出指标50分，效益指标30分，满意度指标10分。共计100分。</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宋体" w:hAnsi="宋体" w:cs="宋体"/>
          <w:color w:val="4A4A4A"/>
          <w:kern w:val="0"/>
          <w:sz w:val="24"/>
        </w:rPr>
        <w:t>　</w:t>
      </w:r>
      <w:r>
        <w:rPr>
          <w:rFonts w:hint="eastAsia" w:ascii="仿宋_GB2312" w:hAnsi="宋体" w:eastAsia="仿宋_GB2312" w:cs="宋体"/>
          <w:color w:val="4A4A4A"/>
          <w:kern w:val="0"/>
          <w:sz w:val="32"/>
          <w:szCs w:val="32"/>
        </w:rPr>
        <w:t>3.评价方法</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通过召开座谈会听取介绍、核对财务账目、检查档案资料等方式，主要采用目标评价法、询问查证法等方法，现场评价与资料评价相结合，重点查看账目，账实对照，对资金使用进行综合分析，作出总体性评价。</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4.绩效评价标准</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本次绩效评价采用百分制，各级指标依据其指标权重确定分值，最终得分由各级评价指标得分加总形成。根据最终得分将评价标准分为四个等级：优（得分≥90分）；良（80分≤得分＜90分）；中（60≤得分＜80分）；差（得分＜60分）。</w:t>
      </w:r>
    </w:p>
    <w:p>
      <w:pPr>
        <w:widowControl/>
        <w:shd w:val="clear" w:color="auto" w:fill="FFFFFF"/>
        <w:spacing w:before="68" w:after="68"/>
        <w:jc w:val="left"/>
        <w:rPr>
          <w:rFonts w:ascii="宋体" w:hAnsi="宋体" w:cs="宋体"/>
          <w:color w:val="4A4A4A"/>
          <w:kern w:val="0"/>
          <w:sz w:val="24"/>
        </w:rPr>
      </w:pPr>
      <w:r>
        <w:rPr>
          <w:rFonts w:hint="eastAsia" w:ascii="宋体" w:hAnsi="宋体" w:cs="宋体"/>
          <w:color w:val="4A4A4A"/>
          <w:kern w:val="0"/>
          <w:sz w:val="24"/>
        </w:rPr>
        <w:t>　　　　</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三、综合评价情况及评价结论</w:t>
      </w:r>
    </w:p>
    <w:p>
      <w:pPr>
        <w:widowControl/>
        <w:shd w:val="clear" w:color="auto" w:fill="FFFFFF"/>
        <w:spacing w:before="68" w:after="68"/>
        <w:ind w:firstLine="645"/>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本次项目绩效评价的1个项目，其中：评价等级为“优”的项目1个。</w:t>
      </w:r>
    </w:p>
    <w:p>
      <w:pPr>
        <w:widowControl/>
        <w:shd w:val="clear" w:color="auto" w:fill="FFFFFF"/>
        <w:spacing w:before="68" w:after="68"/>
        <w:ind w:firstLine="640" w:firstLineChars="200"/>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1.疫情期间纾困资金补助：项目支出绩效自评分为96.04分，评定等级为“优”。</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四、绩效评价分析</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（一）项目决策情况</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从综合评价来看，预算项目立项依据基本充分，设定了各项目绩效目标，对资金配置方面均有明确的测算依据，整体情况良好。</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宋体" w:hAnsi="宋体" w:cs="宋体"/>
          <w:color w:val="4A4A4A"/>
          <w:kern w:val="0"/>
          <w:sz w:val="24"/>
        </w:rPr>
        <w:t>　　</w:t>
      </w:r>
      <w:r>
        <w:rPr>
          <w:rFonts w:hint="eastAsia" w:ascii="仿宋_GB2312" w:hAnsi="宋体" w:eastAsia="仿宋_GB2312" w:cs="宋体"/>
          <w:color w:val="4A4A4A"/>
          <w:kern w:val="0"/>
          <w:sz w:val="32"/>
          <w:szCs w:val="32"/>
        </w:rPr>
        <w:t>（二）项目管理情况</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从整体评价来看，中心建立了基本能全面覆盖的管理制度，并通过管理制度进行了明确的权责划分，严格执行项目申报制，立项评审制、监督检查制， 验收制、合同制。</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（三）项目产出情况</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从项目产出评价情况来看，基本完成各项产出目标，1个三级指标完成产出绩效。</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（四）项目效益情况分析。</w:t>
      </w:r>
    </w:p>
    <w:p>
      <w:pPr>
        <w:widowControl/>
        <w:shd w:val="clear" w:color="auto" w:fill="FFFFFF"/>
        <w:spacing w:before="68" w:after="68"/>
        <w:ind w:firstLine="645"/>
        <w:jc w:val="left"/>
        <w:rPr>
          <w:rFonts w:ascii="仿宋_GB2312" w:eastAsia="仿宋_GB2312"/>
          <w:sz w:val="32"/>
          <w:szCs w:val="32"/>
        </w:rPr>
      </w:pPr>
      <w:r>
        <w:rPr>
          <w:rFonts w:hint="eastAsia" w:ascii="仿宋_GB2312" w:hAnsi="宋体" w:eastAsia="仿宋_GB2312" w:cs="宋体"/>
          <w:color w:val="4A4A4A"/>
          <w:kern w:val="0"/>
          <w:sz w:val="32"/>
          <w:szCs w:val="32"/>
        </w:rPr>
        <w:t>各项目通过政府采购等相关手续后稳步推进，并根据年度工作计划做好各项目工作。年初预算批复后，根据项目推进情况申请资金下达，截至2020年12月31日，1个项目资金到位４０万元，已支出４０万元，项目资金执行率为100%。项目运行成本均在可控制范围内。1个项目有序推进，</w:t>
      </w:r>
      <w:r>
        <w:rPr>
          <w:rFonts w:hint="eastAsia" w:ascii="仿宋_GB2312" w:eastAsia="仿宋_GB2312"/>
          <w:sz w:val="32"/>
          <w:szCs w:val="32"/>
        </w:rPr>
        <w:t>基本完成任务。</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五、存在的问题</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（一）部门预算绩效管理主体意识不强</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部门绩效管理理念还未深入，预算绩效管理主体意识不强，未将预算绩效管理作为加强预算管理，提升资金使用绩效的有效管理模式，绩效管理工作大都为被动应付，存在被财政推着走的情况。部门内部协调机制不完善，绩效自评工作主要由财务人员牵头并完成，各相关业务科室配合工作不积极。</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（二）部门预算绩效管理机构不健全</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预算绩效管理工作政策性强、专业性强、涉及面广、操作难度大，对于基层从事此项工作的财务人员具有许多新的挑战。工学矛盾突出、重使用轻培养的问题普遍存在。预算绩效管理工作开展时间较短，加上缺乏系统的培训，无论是部门领导还是负责预算绩效管理人员，对预算绩效管理业务不专业。</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六、相关措施建议</w:t>
      </w:r>
    </w:p>
    <w:p>
      <w:pPr>
        <w:widowControl/>
        <w:shd w:val="clear" w:color="auto" w:fill="FFFFFF"/>
        <w:spacing w:before="68" w:after="68"/>
        <w:jc w:val="left"/>
        <w:rPr>
          <w:rFonts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无。</w:t>
      </w:r>
    </w:p>
    <w:p>
      <w:pPr>
        <w:spacing w:line="600" w:lineRule="exact"/>
        <w:jc w:val="center"/>
        <w:outlineLvl w:val="0"/>
        <w:rPr>
          <w:rFonts w:hint="eastAsia" w:ascii="仿宋_GB2312" w:hAnsi="宋体" w:eastAsia="仿宋_GB2312" w:cs="宋体"/>
          <w:color w:val="4A4A4A"/>
          <w:kern w:val="0"/>
          <w:sz w:val="32"/>
          <w:szCs w:val="32"/>
        </w:rPr>
      </w:pPr>
      <w:r>
        <w:rPr>
          <w:rFonts w:hint="eastAsia" w:ascii="仿宋_GB2312" w:hAnsi="宋体" w:eastAsia="仿宋_GB2312" w:cs="宋体"/>
          <w:color w:val="4A4A4A"/>
          <w:kern w:val="0"/>
          <w:sz w:val="32"/>
          <w:szCs w:val="32"/>
        </w:rPr>
        <w:t>　</w:t>
      </w:r>
      <w:bookmarkStart w:id="110" w:name="_Toc15396618"/>
      <w:bookmarkStart w:id="111" w:name="_Toc79163635"/>
      <w:bookmarkStart w:id="112" w:name="_Toc79163885"/>
    </w:p>
    <w:p>
      <w:pPr>
        <w:spacing w:line="600" w:lineRule="exact"/>
        <w:jc w:val="center"/>
        <w:outlineLvl w:val="0"/>
        <w:rPr>
          <w:rFonts w:hint="eastAsia" w:ascii="仿宋_GB2312" w:hAnsi="宋体" w:eastAsia="仿宋_GB2312" w:cs="宋体"/>
          <w:color w:val="4A4A4A"/>
          <w:kern w:val="0"/>
          <w:sz w:val="32"/>
          <w:szCs w:val="32"/>
        </w:rPr>
      </w:pPr>
    </w:p>
    <w:p>
      <w:pPr>
        <w:spacing w:line="600" w:lineRule="exact"/>
        <w:jc w:val="center"/>
        <w:outlineLvl w:val="0"/>
        <w:rPr>
          <w:rFonts w:hint="eastAsia" w:ascii="仿宋_GB2312" w:hAnsi="宋体" w:eastAsia="仿宋_GB2312" w:cs="宋体"/>
          <w:color w:val="4A4A4A"/>
          <w:kern w:val="0"/>
          <w:sz w:val="32"/>
          <w:szCs w:val="32"/>
        </w:rPr>
      </w:pPr>
    </w:p>
    <w:p>
      <w:pPr>
        <w:spacing w:line="600" w:lineRule="exact"/>
        <w:jc w:val="center"/>
        <w:outlineLvl w:val="0"/>
        <w:rPr>
          <w:rFonts w:hint="eastAsia" w:ascii="仿宋_GB2312" w:hAnsi="宋体" w:eastAsia="仿宋_GB2312" w:cs="宋体"/>
          <w:color w:val="4A4A4A"/>
          <w:kern w:val="0"/>
          <w:sz w:val="32"/>
          <w:szCs w:val="32"/>
        </w:rPr>
      </w:pPr>
    </w:p>
    <w:p>
      <w:pPr>
        <w:spacing w:line="600" w:lineRule="exact"/>
        <w:jc w:val="center"/>
        <w:outlineLvl w:val="0"/>
        <w:rPr>
          <w:rFonts w:hint="eastAsia" w:ascii="仿宋_GB2312" w:hAnsi="宋体" w:eastAsia="仿宋_GB2312" w:cs="宋体"/>
          <w:color w:val="4A4A4A"/>
          <w:kern w:val="0"/>
          <w:sz w:val="32"/>
          <w:szCs w:val="32"/>
        </w:rPr>
      </w:pPr>
    </w:p>
    <w:p>
      <w:pPr>
        <w:spacing w:line="600" w:lineRule="exact"/>
        <w:jc w:val="center"/>
        <w:outlineLvl w:val="0"/>
        <w:rPr>
          <w:rFonts w:hint="eastAsia" w:ascii="仿宋_GB2312" w:hAnsi="宋体" w:eastAsia="仿宋_GB2312" w:cs="宋体"/>
          <w:color w:val="4A4A4A"/>
          <w:kern w:val="0"/>
          <w:sz w:val="32"/>
          <w:szCs w:val="32"/>
        </w:rPr>
      </w:pPr>
    </w:p>
    <w:p>
      <w:pPr>
        <w:spacing w:line="600" w:lineRule="exact"/>
        <w:jc w:val="center"/>
        <w:outlineLvl w:val="0"/>
        <w:rPr>
          <w:rFonts w:hint="eastAsia" w:ascii="仿宋_GB2312" w:hAnsi="宋体" w:eastAsia="仿宋_GB2312" w:cs="宋体"/>
          <w:color w:val="4A4A4A"/>
          <w:kern w:val="0"/>
          <w:sz w:val="32"/>
          <w:szCs w:val="32"/>
        </w:rPr>
      </w:pPr>
    </w:p>
    <w:p>
      <w:pPr>
        <w:spacing w:line="600" w:lineRule="exact"/>
        <w:jc w:val="center"/>
        <w:outlineLvl w:val="0"/>
        <w:rPr>
          <w:rFonts w:hint="eastAsia" w:ascii="仿宋_GB2312" w:hAnsi="宋体" w:eastAsia="仿宋_GB2312" w:cs="宋体"/>
          <w:color w:val="4A4A4A"/>
          <w:kern w:val="0"/>
          <w:sz w:val="32"/>
          <w:szCs w:val="32"/>
        </w:rPr>
      </w:pPr>
    </w:p>
    <w:p>
      <w:pPr>
        <w:spacing w:line="600" w:lineRule="exact"/>
        <w:jc w:val="center"/>
        <w:outlineLvl w:val="0"/>
        <w:rPr>
          <w:rStyle w:val="24"/>
          <w:rFonts w:ascii="黑体" w:eastAsia="黑体"/>
          <w:b w:val="0"/>
        </w:rPr>
      </w:pPr>
      <w:r>
        <w:rPr>
          <w:rFonts w:hint="eastAsia" w:ascii="黑体" w:eastAsia="黑体"/>
          <w:color w:val="000000"/>
          <w:sz w:val="44"/>
          <w:szCs w:val="44"/>
        </w:rPr>
        <w:t>第</w:t>
      </w:r>
      <w:r>
        <w:rPr>
          <w:rStyle w:val="24"/>
          <w:rFonts w:hint="eastAsia" w:ascii="黑体" w:eastAsia="黑体"/>
        </w:rPr>
        <w:t>五部分</w:t>
      </w:r>
      <w:r>
        <w:rPr>
          <w:rStyle w:val="24"/>
          <w:rFonts w:ascii="黑体" w:eastAsia="黑体"/>
        </w:rPr>
        <w:t xml:space="preserve"> </w:t>
      </w:r>
      <w:r>
        <w:rPr>
          <w:rStyle w:val="24"/>
          <w:rFonts w:hint="eastAsia" w:ascii="黑体" w:eastAsia="黑体"/>
        </w:rPr>
        <w:t>附表</w:t>
      </w:r>
      <w:bookmarkEnd w:id="110"/>
      <w:bookmarkEnd w:id="111"/>
      <w:bookmarkEnd w:id="112"/>
    </w:p>
    <w:p>
      <w:pPr>
        <w:pStyle w:val="3"/>
        <w:rPr>
          <w:rFonts w:ascii="仿宋" w:eastAsia="仿宋"/>
          <w:color w:val="000000"/>
        </w:rPr>
      </w:pPr>
      <w:bookmarkStart w:id="113" w:name="_Toc15396619"/>
      <w:bookmarkStart w:id="114" w:name="_Toc79163636"/>
      <w:bookmarkStart w:id="115" w:name="_Toc79163886"/>
      <w:r>
        <w:rPr>
          <w:rFonts w:hint="eastAsia" w:ascii="仿宋" w:eastAsia="仿宋"/>
          <w:b w:val="0"/>
          <w:color w:val="000000"/>
        </w:rPr>
        <w:t>一、收</w:t>
      </w:r>
      <w:r>
        <w:rPr>
          <w:rStyle w:val="25"/>
          <w:rFonts w:hint="eastAsia" w:ascii="仿宋" w:eastAsia="仿宋"/>
          <w:b w:val="0"/>
          <w:bCs w:val="0"/>
        </w:rPr>
        <w:t>入支出决算总表</w:t>
      </w:r>
      <w:bookmarkEnd w:id="113"/>
      <w:bookmarkEnd w:id="114"/>
      <w:bookmarkEnd w:id="115"/>
    </w:p>
    <w:p>
      <w:pPr>
        <w:pStyle w:val="3"/>
        <w:rPr>
          <w:rFonts w:ascii="仿宋" w:eastAsia="仿宋"/>
          <w:color w:val="000000"/>
        </w:rPr>
      </w:pPr>
      <w:bookmarkStart w:id="116" w:name="_Toc15396620"/>
      <w:bookmarkStart w:id="117" w:name="_Toc79163637"/>
      <w:bookmarkStart w:id="118" w:name="_Toc79163887"/>
      <w:r>
        <w:rPr>
          <w:rFonts w:hint="eastAsia" w:ascii="仿宋" w:eastAsia="仿宋"/>
          <w:b w:val="0"/>
          <w:color w:val="000000"/>
        </w:rPr>
        <w:t>二、收</w:t>
      </w:r>
      <w:r>
        <w:rPr>
          <w:rStyle w:val="25"/>
          <w:rFonts w:hint="eastAsia" w:ascii="仿宋" w:eastAsia="仿宋"/>
          <w:b w:val="0"/>
          <w:bCs w:val="0"/>
        </w:rPr>
        <w:t>入决算表</w:t>
      </w:r>
      <w:bookmarkEnd w:id="116"/>
      <w:bookmarkEnd w:id="117"/>
      <w:bookmarkEnd w:id="118"/>
    </w:p>
    <w:p>
      <w:pPr>
        <w:pStyle w:val="3"/>
        <w:rPr>
          <w:rFonts w:ascii="仿宋" w:eastAsia="仿宋"/>
          <w:color w:val="000000"/>
        </w:rPr>
      </w:pPr>
      <w:bookmarkStart w:id="119" w:name="_Toc15396621"/>
      <w:bookmarkStart w:id="120" w:name="_Toc79163888"/>
      <w:bookmarkStart w:id="121" w:name="_Toc79163638"/>
      <w:r>
        <w:rPr>
          <w:rStyle w:val="25"/>
          <w:rFonts w:hint="eastAsia" w:ascii="仿宋" w:eastAsia="仿宋"/>
          <w:b w:val="0"/>
          <w:bCs w:val="0"/>
        </w:rPr>
        <w:t>三、</w:t>
      </w:r>
      <w:r>
        <w:rPr>
          <w:rFonts w:hint="eastAsia" w:ascii="仿宋" w:eastAsia="仿宋"/>
          <w:b w:val="0"/>
          <w:color w:val="000000"/>
        </w:rPr>
        <w:t>支</w:t>
      </w:r>
      <w:r>
        <w:rPr>
          <w:rStyle w:val="25"/>
          <w:rFonts w:hint="eastAsia" w:ascii="仿宋" w:eastAsia="仿宋"/>
          <w:b w:val="0"/>
          <w:bCs w:val="0"/>
        </w:rPr>
        <w:t>出决算表</w:t>
      </w:r>
      <w:bookmarkEnd w:id="119"/>
      <w:bookmarkEnd w:id="120"/>
      <w:bookmarkEnd w:id="121"/>
    </w:p>
    <w:p>
      <w:pPr>
        <w:pStyle w:val="3"/>
        <w:rPr>
          <w:rFonts w:ascii="仿宋" w:eastAsia="仿宋"/>
          <w:b w:val="0"/>
          <w:color w:val="000000"/>
        </w:rPr>
      </w:pPr>
      <w:bookmarkStart w:id="122" w:name="_Toc15396622"/>
      <w:bookmarkStart w:id="123" w:name="_Toc79163889"/>
      <w:bookmarkStart w:id="124" w:name="_Toc79163639"/>
      <w:r>
        <w:rPr>
          <w:rStyle w:val="25"/>
          <w:rFonts w:hint="eastAsia" w:ascii="仿宋" w:eastAsia="仿宋"/>
          <w:b w:val="0"/>
          <w:bCs w:val="0"/>
        </w:rPr>
        <w:t>四、</w:t>
      </w:r>
      <w:r>
        <w:rPr>
          <w:rFonts w:hint="eastAsia" w:ascii="仿宋" w:eastAsia="仿宋"/>
          <w:b w:val="0"/>
          <w:color w:val="000000"/>
        </w:rPr>
        <w:t>财</w:t>
      </w:r>
      <w:r>
        <w:rPr>
          <w:rStyle w:val="25"/>
          <w:rFonts w:hint="eastAsia" w:ascii="仿宋" w:eastAsia="仿宋"/>
          <w:b w:val="0"/>
          <w:bCs w:val="0"/>
        </w:rPr>
        <w:t>政拨款收入支出决算总表</w:t>
      </w:r>
      <w:bookmarkEnd w:id="122"/>
      <w:bookmarkEnd w:id="123"/>
      <w:bookmarkEnd w:id="124"/>
    </w:p>
    <w:p>
      <w:pPr>
        <w:pStyle w:val="3"/>
        <w:rPr>
          <w:rStyle w:val="25"/>
          <w:rFonts w:ascii="仿宋" w:eastAsia="仿宋"/>
          <w:b w:val="0"/>
          <w:bCs w:val="0"/>
        </w:rPr>
      </w:pPr>
      <w:bookmarkStart w:id="125" w:name="_Toc79163640"/>
      <w:bookmarkStart w:id="126" w:name="_Toc15396623"/>
      <w:bookmarkStart w:id="127" w:name="_Toc79163890"/>
      <w:r>
        <w:rPr>
          <w:rStyle w:val="25"/>
          <w:rFonts w:hint="eastAsia" w:ascii="仿宋" w:eastAsia="仿宋"/>
          <w:b w:val="0"/>
          <w:bCs w:val="0"/>
        </w:rPr>
        <w:t>五、</w:t>
      </w:r>
      <w:r>
        <w:rPr>
          <w:rFonts w:hint="eastAsia" w:ascii="仿宋" w:eastAsia="仿宋"/>
          <w:b w:val="0"/>
          <w:color w:val="000000"/>
        </w:rPr>
        <w:t>财</w:t>
      </w:r>
      <w:r>
        <w:rPr>
          <w:rStyle w:val="25"/>
          <w:rFonts w:hint="eastAsia" w:ascii="仿宋" w:eastAsia="仿宋"/>
          <w:b w:val="0"/>
          <w:bCs w:val="0"/>
        </w:rPr>
        <w:t>政拨款支出决算明细表</w:t>
      </w:r>
      <w:bookmarkEnd w:id="125"/>
      <w:bookmarkEnd w:id="126"/>
      <w:bookmarkEnd w:id="127"/>
      <w:bookmarkStart w:id="128" w:name="_Toc15396624"/>
    </w:p>
    <w:p>
      <w:pPr>
        <w:pStyle w:val="3"/>
        <w:rPr>
          <w:rFonts w:ascii="仿宋" w:eastAsia="仿宋"/>
          <w:color w:val="000000"/>
        </w:rPr>
      </w:pPr>
      <w:bookmarkStart w:id="129" w:name="_Toc79163641"/>
      <w:bookmarkStart w:id="130" w:name="_Toc79163891"/>
      <w:r>
        <w:rPr>
          <w:rStyle w:val="25"/>
          <w:rFonts w:hint="eastAsia" w:ascii="仿宋" w:eastAsia="仿宋"/>
          <w:b w:val="0"/>
          <w:bCs w:val="0"/>
        </w:rPr>
        <w:t>六、</w:t>
      </w:r>
      <w:r>
        <w:rPr>
          <w:rFonts w:hint="eastAsia" w:ascii="仿宋" w:eastAsia="仿宋"/>
          <w:b w:val="0"/>
          <w:color w:val="000000"/>
        </w:rPr>
        <w:t>一</w:t>
      </w:r>
      <w:r>
        <w:rPr>
          <w:rStyle w:val="25"/>
          <w:rFonts w:hint="eastAsia" w:ascii="仿宋" w:eastAsia="仿宋"/>
          <w:b w:val="0"/>
          <w:bCs w:val="0"/>
        </w:rPr>
        <w:t>般公共预算财政拨款支出决算表</w:t>
      </w:r>
      <w:bookmarkEnd w:id="128"/>
      <w:bookmarkEnd w:id="129"/>
      <w:bookmarkEnd w:id="130"/>
    </w:p>
    <w:p>
      <w:pPr>
        <w:pStyle w:val="3"/>
        <w:rPr>
          <w:rFonts w:ascii="仿宋" w:eastAsia="仿宋"/>
          <w:color w:val="000000"/>
        </w:rPr>
      </w:pPr>
      <w:bookmarkStart w:id="131" w:name="_Toc15396625"/>
      <w:bookmarkStart w:id="132" w:name="_Toc79163892"/>
      <w:bookmarkStart w:id="133" w:name="_Toc79163642"/>
      <w:r>
        <w:rPr>
          <w:rStyle w:val="25"/>
          <w:rFonts w:hint="eastAsia" w:ascii="仿宋" w:eastAsia="仿宋"/>
          <w:b w:val="0"/>
          <w:bCs w:val="0"/>
        </w:rPr>
        <w:t>七、</w:t>
      </w:r>
      <w:r>
        <w:rPr>
          <w:rFonts w:hint="eastAsia" w:ascii="仿宋" w:eastAsia="仿宋"/>
          <w:b w:val="0"/>
          <w:color w:val="000000"/>
        </w:rPr>
        <w:t>一</w:t>
      </w:r>
      <w:r>
        <w:rPr>
          <w:rStyle w:val="25"/>
          <w:rFonts w:hint="eastAsia" w:ascii="仿宋" w:eastAsia="仿宋"/>
          <w:b w:val="0"/>
          <w:bCs w:val="0"/>
        </w:rPr>
        <w:t>般公共预算财政拨款支出决算明细表</w:t>
      </w:r>
      <w:bookmarkEnd w:id="131"/>
      <w:bookmarkEnd w:id="132"/>
      <w:bookmarkEnd w:id="133"/>
    </w:p>
    <w:p>
      <w:pPr>
        <w:pStyle w:val="3"/>
        <w:rPr>
          <w:rFonts w:ascii="仿宋" w:eastAsia="仿宋"/>
          <w:color w:val="000000"/>
        </w:rPr>
      </w:pPr>
      <w:bookmarkStart w:id="134" w:name="_Toc79163893"/>
      <w:bookmarkStart w:id="135" w:name="_Toc79163643"/>
      <w:bookmarkStart w:id="136" w:name="_Toc15396626"/>
      <w:r>
        <w:rPr>
          <w:rStyle w:val="25"/>
          <w:rFonts w:hint="eastAsia" w:ascii="仿宋" w:eastAsia="仿宋"/>
          <w:b w:val="0"/>
          <w:bCs w:val="0"/>
        </w:rPr>
        <w:t>八、</w:t>
      </w:r>
      <w:r>
        <w:rPr>
          <w:rFonts w:hint="eastAsia" w:ascii="仿宋" w:eastAsia="仿宋"/>
          <w:b w:val="0"/>
          <w:color w:val="000000"/>
        </w:rPr>
        <w:t>一</w:t>
      </w:r>
      <w:r>
        <w:rPr>
          <w:rStyle w:val="25"/>
          <w:rFonts w:hint="eastAsia" w:ascii="仿宋" w:eastAsia="仿宋"/>
          <w:b w:val="0"/>
          <w:bCs w:val="0"/>
        </w:rPr>
        <w:t>般公共预算财政拨款基本支出决算表</w:t>
      </w:r>
      <w:bookmarkEnd w:id="134"/>
      <w:bookmarkEnd w:id="135"/>
      <w:bookmarkEnd w:id="136"/>
    </w:p>
    <w:p>
      <w:pPr>
        <w:pStyle w:val="3"/>
        <w:rPr>
          <w:rFonts w:ascii="仿宋" w:eastAsia="仿宋"/>
          <w:color w:val="000000"/>
        </w:rPr>
      </w:pPr>
      <w:bookmarkStart w:id="137" w:name="_Toc79163644"/>
      <w:bookmarkStart w:id="138" w:name="_Toc79163894"/>
      <w:bookmarkStart w:id="139" w:name="_Toc15396627"/>
      <w:r>
        <w:rPr>
          <w:rStyle w:val="25"/>
          <w:rFonts w:hint="eastAsia" w:ascii="仿宋" w:eastAsia="仿宋"/>
          <w:b w:val="0"/>
          <w:bCs w:val="0"/>
        </w:rPr>
        <w:t>九、</w:t>
      </w:r>
      <w:r>
        <w:rPr>
          <w:rFonts w:hint="eastAsia" w:ascii="仿宋" w:eastAsia="仿宋"/>
          <w:b w:val="0"/>
          <w:color w:val="000000"/>
        </w:rPr>
        <w:t>一</w:t>
      </w:r>
      <w:r>
        <w:rPr>
          <w:rStyle w:val="25"/>
          <w:rFonts w:hint="eastAsia" w:ascii="仿宋" w:eastAsia="仿宋"/>
          <w:b w:val="0"/>
          <w:bCs w:val="0"/>
        </w:rPr>
        <w:t>般公共预算财政拨款项目支出决算表</w:t>
      </w:r>
      <w:bookmarkEnd w:id="137"/>
      <w:bookmarkEnd w:id="138"/>
      <w:bookmarkEnd w:id="139"/>
    </w:p>
    <w:p>
      <w:pPr>
        <w:pStyle w:val="3"/>
        <w:rPr>
          <w:rFonts w:ascii="仿宋" w:eastAsia="仿宋"/>
          <w:color w:val="000000"/>
        </w:rPr>
      </w:pPr>
      <w:bookmarkStart w:id="140" w:name="_Toc79163645"/>
      <w:bookmarkStart w:id="141" w:name="_Toc79163895"/>
      <w:bookmarkStart w:id="142" w:name="_Toc15396628"/>
      <w:r>
        <w:rPr>
          <w:rStyle w:val="25"/>
          <w:rFonts w:hint="eastAsia" w:ascii="仿宋" w:eastAsia="仿宋"/>
          <w:b w:val="0"/>
          <w:bCs w:val="0"/>
        </w:rPr>
        <w:t>十、</w:t>
      </w:r>
      <w:r>
        <w:rPr>
          <w:rFonts w:hint="eastAsia" w:ascii="仿宋" w:eastAsia="仿宋"/>
          <w:b w:val="0"/>
          <w:color w:val="000000"/>
        </w:rPr>
        <w:t>一</w:t>
      </w:r>
      <w:r>
        <w:rPr>
          <w:rStyle w:val="25"/>
          <w:rFonts w:hint="eastAsia" w:ascii="仿宋" w:eastAsia="仿宋"/>
          <w:b w:val="0"/>
          <w:bCs w:val="0"/>
        </w:rPr>
        <w:t>般公共预算财政拨款“三公”经费支出决算表</w:t>
      </w:r>
      <w:bookmarkEnd w:id="140"/>
      <w:bookmarkEnd w:id="141"/>
      <w:bookmarkEnd w:id="142"/>
    </w:p>
    <w:p>
      <w:pPr>
        <w:pStyle w:val="3"/>
        <w:rPr>
          <w:rFonts w:ascii="仿宋" w:eastAsia="仿宋"/>
          <w:color w:val="000000"/>
        </w:rPr>
      </w:pPr>
      <w:bookmarkStart w:id="143" w:name="_Toc15396629"/>
      <w:bookmarkStart w:id="144" w:name="_Toc79163646"/>
      <w:bookmarkStart w:id="145" w:name="_Toc79163896"/>
      <w:r>
        <w:rPr>
          <w:rStyle w:val="25"/>
          <w:rFonts w:hint="eastAsia" w:ascii="仿宋" w:eastAsia="仿宋"/>
          <w:b w:val="0"/>
          <w:bCs w:val="0"/>
        </w:rPr>
        <w:t>十一、</w:t>
      </w:r>
      <w:r>
        <w:rPr>
          <w:rFonts w:hint="eastAsia" w:ascii="仿宋" w:eastAsia="仿宋"/>
          <w:b w:val="0"/>
          <w:color w:val="000000"/>
        </w:rPr>
        <w:t>政</w:t>
      </w:r>
      <w:r>
        <w:rPr>
          <w:rStyle w:val="25"/>
          <w:rFonts w:hint="eastAsia" w:ascii="仿宋" w:eastAsia="仿宋"/>
          <w:b w:val="0"/>
          <w:bCs w:val="0"/>
        </w:rPr>
        <w:t>府性基金预算财政拨款收入支出决算表</w:t>
      </w:r>
      <w:bookmarkEnd w:id="143"/>
      <w:bookmarkEnd w:id="144"/>
      <w:bookmarkEnd w:id="145"/>
    </w:p>
    <w:p>
      <w:pPr>
        <w:pStyle w:val="3"/>
        <w:rPr>
          <w:rFonts w:ascii="仿宋" w:eastAsia="仿宋"/>
          <w:color w:val="000000"/>
        </w:rPr>
      </w:pPr>
      <w:bookmarkStart w:id="146" w:name="_Toc79163647"/>
      <w:bookmarkStart w:id="147" w:name="_Toc15396630"/>
      <w:bookmarkStart w:id="148" w:name="_Toc79163897"/>
      <w:r>
        <w:rPr>
          <w:rStyle w:val="25"/>
          <w:rFonts w:hint="eastAsia" w:ascii="仿宋" w:eastAsia="仿宋"/>
          <w:b w:val="0"/>
          <w:bCs w:val="0"/>
        </w:rPr>
        <w:t>十二、</w:t>
      </w:r>
      <w:r>
        <w:rPr>
          <w:rFonts w:hint="eastAsia" w:ascii="仿宋" w:eastAsia="仿宋"/>
          <w:b w:val="0"/>
          <w:color w:val="000000"/>
        </w:rPr>
        <w:t>政</w:t>
      </w:r>
      <w:r>
        <w:rPr>
          <w:rStyle w:val="25"/>
          <w:rFonts w:hint="eastAsia" w:ascii="仿宋" w:eastAsia="仿宋"/>
          <w:b w:val="0"/>
          <w:bCs w:val="0"/>
        </w:rPr>
        <w:t>府性基金预算财政拨款“三公”经费支出决算表</w:t>
      </w:r>
      <w:bookmarkEnd w:id="146"/>
      <w:bookmarkEnd w:id="147"/>
      <w:bookmarkEnd w:id="148"/>
    </w:p>
    <w:p>
      <w:pPr>
        <w:pStyle w:val="3"/>
        <w:rPr>
          <w:rStyle w:val="25"/>
          <w:rFonts w:ascii="仿宋" w:eastAsia="仿宋"/>
          <w:b w:val="0"/>
          <w:bCs w:val="0"/>
        </w:rPr>
      </w:pPr>
      <w:bookmarkStart w:id="149" w:name="_Toc79163898"/>
      <w:bookmarkStart w:id="150" w:name="_Toc79163648"/>
      <w:bookmarkStart w:id="151" w:name="_Toc15396631"/>
      <w:r>
        <w:rPr>
          <w:rStyle w:val="25"/>
          <w:rFonts w:hint="eastAsia" w:ascii="仿宋" w:eastAsia="仿宋"/>
          <w:b w:val="0"/>
          <w:bCs w:val="0"/>
        </w:rPr>
        <w:t>十三、</w:t>
      </w:r>
      <w:r>
        <w:rPr>
          <w:rFonts w:hint="eastAsia" w:ascii="仿宋" w:eastAsia="仿宋"/>
          <w:b w:val="0"/>
          <w:color w:val="000000"/>
        </w:rPr>
        <w:t>国</w:t>
      </w:r>
      <w:r>
        <w:rPr>
          <w:rStyle w:val="25"/>
          <w:rFonts w:hint="eastAsia" w:ascii="仿宋" w:eastAsia="仿宋"/>
          <w:b w:val="0"/>
          <w:bCs w:val="0"/>
        </w:rPr>
        <w:t>有资本经营预算财政拨款支出决算表</w:t>
      </w:r>
      <w:bookmarkEnd w:id="149"/>
      <w:bookmarkEnd w:id="150"/>
      <w:bookmarkEnd w:id="151"/>
    </w:p>
    <w:p>
      <w:pPr>
        <w:pStyle w:val="3"/>
        <w:rPr>
          <w:rStyle w:val="25"/>
          <w:rFonts w:ascii="仿宋" w:eastAsia="仿宋"/>
          <w:b w:val="0"/>
          <w:bCs w:val="0"/>
        </w:rPr>
      </w:pPr>
      <w:bookmarkStart w:id="152" w:name="_Toc79163649"/>
      <w:bookmarkStart w:id="153" w:name="_Toc79163899"/>
      <w:r>
        <w:rPr>
          <w:rStyle w:val="25"/>
          <w:rFonts w:hint="eastAsia" w:ascii="仿宋" w:eastAsia="仿宋"/>
          <w:b w:val="0"/>
          <w:bCs w:val="0"/>
        </w:rPr>
        <w:t>十四、国有资本经营预算财政拨款支出决算表</w:t>
      </w:r>
      <w:bookmarkEnd w:id="152"/>
      <w:bookmarkEnd w:id="153"/>
    </w:p>
    <w:p>
      <w:pPr>
        <w:widowControl/>
        <w:shd w:val="clear" w:color="auto" w:fill="FFFFFF"/>
        <w:spacing w:before="68" w:after="68"/>
        <w:jc w:val="left"/>
        <w:rPr>
          <w:rFonts w:ascii="仿宋_GB2312" w:hAnsi="宋体" w:eastAsia="仿宋_GB2312" w:cs="宋体"/>
          <w:color w:val="4A4A4A"/>
          <w:kern w:val="0"/>
          <w:sz w:val="32"/>
          <w:szCs w:val="32"/>
        </w:rPr>
      </w:pPr>
      <w:bookmarkStart w:id="154" w:name="_GoBack"/>
      <w:bookmarkEnd w:id="15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24</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tabs>
          <w:tab w:val="left" w:pos="0"/>
        </w:tabs>
        <w:ind w:left="1360" w:hanging="720"/>
      </w:pPr>
      <w:rPr>
        <w:rFonts w:hint="default" w:cs="Times New Roman"/>
        <w:b w:val="0"/>
      </w:rPr>
    </w:lvl>
    <w:lvl w:ilvl="1" w:tentative="0">
      <w:start w:val="1"/>
      <w:numFmt w:val="lowerLetter"/>
      <w:lvlText w:val="%2)"/>
      <w:lvlJc w:val="left"/>
      <w:pPr>
        <w:tabs>
          <w:tab w:val="left" w:pos="0"/>
        </w:tabs>
        <w:ind w:left="1480" w:hanging="420"/>
      </w:pPr>
      <w:rPr>
        <w:rFonts w:cs="Times New Roman"/>
      </w:rPr>
    </w:lvl>
    <w:lvl w:ilvl="2" w:tentative="0">
      <w:start w:val="1"/>
      <w:numFmt w:val="lowerRoman"/>
      <w:lvlText w:val="%3."/>
      <w:lvlJc w:val="right"/>
      <w:pPr>
        <w:tabs>
          <w:tab w:val="left" w:pos="0"/>
        </w:tabs>
        <w:ind w:left="1900" w:hanging="420"/>
      </w:pPr>
      <w:rPr>
        <w:rFonts w:cs="Times New Roman"/>
      </w:rPr>
    </w:lvl>
    <w:lvl w:ilvl="3" w:tentative="0">
      <w:start w:val="1"/>
      <w:numFmt w:val="decimal"/>
      <w:lvlText w:val="%4."/>
      <w:lvlJc w:val="left"/>
      <w:pPr>
        <w:tabs>
          <w:tab w:val="left" w:pos="0"/>
        </w:tabs>
        <w:ind w:left="420" w:hanging="420"/>
      </w:pPr>
      <w:rPr>
        <w:rFonts w:cs="Times New Roman"/>
      </w:rPr>
    </w:lvl>
    <w:lvl w:ilvl="4" w:tentative="0">
      <w:start w:val="1"/>
      <w:numFmt w:val="lowerLetter"/>
      <w:lvlText w:val="%5)"/>
      <w:lvlJc w:val="left"/>
      <w:pPr>
        <w:tabs>
          <w:tab w:val="left" w:pos="0"/>
        </w:tabs>
        <w:ind w:left="2740" w:hanging="420"/>
      </w:pPr>
      <w:rPr>
        <w:rFonts w:cs="Times New Roman"/>
      </w:rPr>
    </w:lvl>
    <w:lvl w:ilvl="5" w:tentative="0">
      <w:start w:val="1"/>
      <w:numFmt w:val="lowerRoman"/>
      <w:lvlText w:val="%6."/>
      <w:lvlJc w:val="right"/>
      <w:pPr>
        <w:tabs>
          <w:tab w:val="left" w:pos="0"/>
        </w:tabs>
        <w:ind w:left="3160" w:hanging="420"/>
      </w:pPr>
      <w:rPr>
        <w:rFonts w:cs="Times New Roman"/>
      </w:rPr>
    </w:lvl>
    <w:lvl w:ilvl="6" w:tentative="0">
      <w:start w:val="1"/>
      <w:numFmt w:val="decimal"/>
      <w:lvlText w:val="%7."/>
      <w:lvlJc w:val="left"/>
      <w:pPr>
        <w:tabs>
          <w:tab w:val="left" w:pos="0"/>
        </w:tabs>
        <w:ind w:left="3580" w:hanging="420"/>
      </w:pPr>
      <w:rPr>
        <w:rFonts w:cs="Times New Roman"/>
      </w:rPr>
    </w:lvl>
    <w:lvl w:ilvl="7" w:tentative="0">
      <w:start w:val="1"/>
      <w:numFmt w:val="lowerLetter"/>
      <w:lvlText w:val="%8)"/>
      <w:lvlJc w:val="left"/>
      <w:pPr>
        <w:tabs>
          <w:tab w:val="left" w:pos="0"/>
        </w:tabs>
        <w:ind w:left="4000" w:hanging="420"/>
      </w:pPr>
      <w:rPr>
        <w:rFonts w:cs="Times New Roman"/>
      </w:rPr>
    </w:lvl>
    <w:lvl w:ilvl="8" w:tentative="0">
      <w:start w:val="1"/>
      <w:numFmt w:val="lowerRoman"/>
      <w:lvlText w:val="%9."/>
      <w:lvlJc w:val="right"/>
      <w:pPr>
        <w:tabs>
          <w:tab w:val="left" w:pos="0"/>
        </w:tabs>
        <w:ind w:left="442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6E3E96"/>
    <w:rsid w:val="000D26F1"/>
    <w:rsid w:val="00212AFE"/>
    <w:rsid w:val="00274B6A"/>
    <w:rsid w:val="002764AD"/>
    <w:rsid w:val="002F397A"/>
    <w:rsid w:val="003559B2"/>
    <w:rsid w:val="004630A6"/>
    <w:rsid w:val="00487ED4"/>
    <w:rsid w:val="00502FB2"/>
    <w:rsid w:val="0058464C"/>
    <w:rsid w:val="005B6385"/>
    <w:rsid w:val="0060321D"/>
    <w:rsid w:val="00621965"/>
    <w:rsid w:val="006850ED"/>
    <w:rsid w:val="006E3E96"/>
    <w:rsid w:val="009730CE"/>
    <w:rsid w:val="009E1AE1"/>
    <w:rsid w:val="00A0715B"/>
    <w:rsid w:val="00B10912"/>
    <w:rsid w:val="00BF7ABC"/>
    <w:rsid w:val="00C05CA0"/>
    <w:rsid w:val="00C305F3"/>
    <w:rsid w:val="00D05004"/>
    <w:rsid w:val="00D21EB8"/>
    <w:rsid w:val="00D57FF0"/>
    <w:rsid w:val="00FC0C50"/>
    <w:rsid w:val="00FC3294"/>
    <w:rsid w:val="00FF1821"/>
    <w:rsid w:val="0ED36F61"/>
    <w:rsid w:val="17501184"/>
    <w:rsid w:val="5C1B2D61"/>
    <w:rsid w:val="6CA97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99"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uiPriority w:val="0"/>
    <w:pPr>
      <w:keepNext/>
      <w:keepLines/>
      <w:spacing w:before="340" w:after="330" w:line="578" w:lineRule="auto"/>
      <w:outlineLvl w:val="0"/>
    </w:pPr>
    <w:rPr>
      <w:b/>
      <w:bCs/>
      <w:kern w:val="44"/>
      <w:sz w:val="44"/>
      <w:szCs w:val="44"/>
    </w:rPr>
  </w:style>
  <w:style w:type="paragraph" w:styleId="3">
    <w:name w:val="heading 2"/>
    <w:basedOn w:val="1"/>
    <w:next w:val="1"/>
    <w:link w:val="25"/>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21">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iPriority w:val="0"/>
    <w:pPr>
      <w:ind w:left="1260"/>
      <w:jc w:val="left"/>
    </w:pPr>
    <w:rPr>
      <w:rFonts w:ascii="等线" w:eastAsia="等线"/>
      <w:sz w:val="18"/>
      <w:szCs w:val="18"/>
    </w:rPr>
  </w:style>
  <w:style w:type="paragraph" w:styleId="6">
    <w:name w:val="Body Text"/>
    <w:basedOn w:val="1"/>
    <w:uiPriority w:val="0"/>
    <w:pPr>
      <w:spacing w:beforeLines="30"/>
    </w:pPr>
    <w:rPr>
      <w:rFonts w:ascii="仿宋_GB2312" w:eastAsia="仿宋_GB2312"/>
      <w:kern w:val="0"/>
      <w:sz w:val="24"/>
      <w:szCs w:val="20"/>
    </w:rPr>
  </w:style>
  <w:style w:type="paragraph" w:styleId="7">
    <w:name w:val="toc 5"/>
    <w:basedOn w:val="1"/>
    <w:next w:val="1"/>
    <w:uiPriority w:val="0"/>
    <w:pPr>
      <w:ind w:left="840"/>
      <w:jc w:val="left"/>
    </w:pPr>
    <w:rPr>
      <w:rFonts w:ascii="等线" w:eastAsia="等线"/>
      <w:sz w:val="18"/>
      <w:szCs w:val="18"/>
    </w:rPr>
  </w:style>
  <w:style w:type="paragraph" w:styleId="8">
    <w:name w:val="toc 3"/>
    <w:basedOn w:val="1"/>
    <w:next w:val="1"/>
    <w:uiPriority w:val="0"/>
    <w:pPr>
      <w:ind w:left="420"/>
      <w:jc w:val="left"/>
    </w:pPr>
    <w:rPr>
      <w:rFonts w:ascii="等线" w:eastAsia="等线"/>
      <w:i/>
      <w:iCs/>
      <w:sz w:val="20"/>
      <w:szCs w:val="20"/>
    </w:rPr>
  </w:style>
  <w:style w:type="paragraph" w:styleId="9">
    <w:name w:val="Plain Text"/>
    <w:next w:val="8"/>
    <w:link w:val="35"/>
    <w:uiPriority w:val="99"/>
    <w:pPr>
      <w:widowControl w:val="0"/>
      <w:jc w:val="both"/>
    </w:pPr>
    <w:rPr>
      <w:rFonts w:ascii="宋体" w:hAnsi="Times New Roman" w:eastAsia="宋体" w:cs="Courier New"/>
      <w:kern w:val="2"/>
      <w:sz w:val="21"/>
      <w:szCs w:val="21"/>
      <w:lang w:val="en-US" w:eastAsia="zh-CN" w:bidi="ar-SA"/>
    </w:rPr>
  </w:style>
  <w:style w:type="paragraph" w:styleId="10">
    <w:name w:val="toc 8"/>
    <w:basedOn w:val="1"/>
    <w:next w:val="1"/>
    <w:uiPriority w:val="0"/>
    <w:pPr>
      <w:ind w:left="1470"/>
      <w:jc w:val="left"/>
    </w:pPr>
    <w:rPr>
      <w:rFonts w:ascii="等线" w:eastAsia="等线"/>
      <w:sz w:val="18"/>
      <w:szCs w:val="18"/>
    </w:rPr>
  </w:style>
  <w:style w:type="paragraph" w:styleId="11">
    <w:name w:val="Balloon Text"/>
    <w:basedOn w:val="1"/>
    <w:uiPriority w:val="0"/>
    <w:rPr>
      <w:sz w:val="18"/>
      <w:szCs w:val="18"/>
    </w:rPr>
  </w:style>
  <w:style w:type="paragraph" w:styleId="12">
    <w:name w:val="footer"/>
    <w:basedOn w:val="1"/>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uiPriority w:val="0"/>
    <w:pPr>
      <w:spacing w:before="120" w:after="120"/>
      <w:jc w:val="left"/>
    </w:pPr>
    <w:rPr>
      <w:rFonts w:ascii="等线" w:eastAsia="等线"/>
      <w:b/>
      <w:bCs/>
      <w:caps/>
      <w:sz w:val="20"/>
      <w:szCs w:val="20"/>
    </w:rPr>
  </w:style>
  <w:style w:type="paragraph" w:styleId="15">
    <w:name w:val="toc 4"/>
    <w:basedOn w:val="1"/>
    <w:next w:val="1"/>
    <w:uiPriority w:val="0"/>
    <w:pPr>
      <w:ind w:left="630"/>
      <w:jc w:val="left"/>
    </w:pPr>
    <w:rPr>
      <w:rFonts w:ascii="等线" w:eastAsia="等线"/>
      <w:sz w:val="18"/>
      <w:szCs w:val="18"/>
    </w:rPr>
  </w:style>
  <w:style w:type="paragraph" w:styleId="16">
    <w:name w:val="toc 6"/>
    <w:basedOn w:val="1"/>
    <w:next w:val="1"/>
    <w:uiPriority w:val="0"/>
    <w:pPr>
      <w:ind w:left="1050"/>
      <w:jc w:val="left"/>
    </w:pPr>
    <w:rPr>
      <w:rFonts w:ascii="等线" w:eastAsia="等线"/>
      <w:sz w:val="18"/>
      <w:szCs w:val="18"/>
    </w:rPr>
  </w:style>
  <w:style w:type="paragraph" w:styleId="17">
    <w:name w:val="toc 2"/>
    <w:basedOn w:val="1"/>
    <w:next w:val="1"/>
    <w:uiPriority w:val="0"/>
    <w:pPr>
      <w:ind w:left="210"/>
      <w:jc w:val="left"/>
    </w:pPr>
    <w:rPr>
      <w:rFonts w:ascii="等线" w:eastAsia="等线"/>
      <w:smallCaps/>
      <w:sz w:val="20"/>
      <w:szCs w:val="20"/>
    </w:rPr>
  </w:style>
  <w:style w:type="paragraph" w:styleId="18">
    <w:name w:val="toc 9"/>
    <w:basedOn w:val="1"/>
    <w:next w:val="1"/>
    <w:uiPriority w:val="0"/>
    <w:pPr>
      <w:ind w:left="1680"/>
      <w:jc w:val="left"/>
    </w:pPr>
    <w:rPr>
      <w:rFonts w:ascii="等线" w:eastAsia="等线"/>
      <w:sz w:val="18"/>
      <w:szCs w:val="18"/>
    </w:rPr>
  </w:style>
  <w:style w:type="paragraph" w:styleId="19">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22">
    <w:name w:val="Strong"/>
    <w:basedOn w:val="21"/>
    <w:uiPriority w:val="0"/>
    <w:rPr>
      <w:rFonts w:cs="Times New Roman"/>
      <w:b/>
    </w:rPr>
  </w:style>
  <w:style w:type="character" w:styleId="23">
    <w:name w:val="Hyperlink"/>
    <w:basedOn w:val="21"/>
    <w:uiPriority w:val="0"/>
    <w:rPr>
      <w:rFonts w:cs="Times New Roman"/>
      <w:color w:val="0000FF"/>
      <w:u w:val="single"/>
    </w:rPr>
  </w:style>
  <w:style w:type="character" w:customStyle="1" w:styleId="24">
    <w:name w:val="标题 1 Char"/>
    <w:basedOn w:val="21"/>
    <w:link w:val="2"/>
    <w:uiPriority w:val="0"/>
    <w:rPr>
      <w:rFonts w:ascii="Times New Roman" w:hAnsi="Times New Roman" w:eastAsia="宋体" w:cs="Times New Roman"/>
      <w:b/>
      <w:bCs/>
      <w:kern w:val="44"/>
      <w:sz w:val="44"/>
      <w:szCs w:val="44"/>
      <w:lang w:val="en-US" w:eastAsia="zh-CN" w:bidi="ar-SA"/>
    </w:rPr>
  </w:style>
  <w:style w:type="character" w:customStyle="1" w:styleId="25">
    <w:name w:val="标题 2 Char"/>
    <w:basedOn w:val="21"/>
    <w:link w:val="3"/>
    <w:uiPriority w:val="0"/>
    <w:rPr>
      <w:rFonts w:ascii="Cambria" w:hAnsi="Cambria" w:eastAsia="宋体" w:cs="Times New Roman"/>
      <w:b/>
      <w:bCs/>
      <w:kern w:val="2"/>
      <w:sz w:val="32"/>
      <w:szCs w:val="32"/>
      <w:lang w:val="en-US" w:eastAsia="zh-CN" w:bidi="ar-SA"/>
    </w:rPr>
  </w:style>
  <w:style w:type="character" w:customStyle="1" w:styleId="26">
    <w:name w:val="Body Text Char"/>
    <w:basedOn w:val="21"/>
    <w:uiPriority w:val="0"/>
    <w:rPr>
      <w:rFonts w:ascii="Times New Roman" w:hAnsi="Times New Roman" w:cs="Times New Roman"/>
      <w:sz w:val="24"/>
      <w:szCs w:val="24"/>
    </w:rPr>
  </w:style>
  <w:style w:type="character" w:customStyle="1" w:styleId="27">
    <w:name w:val="Footer Char"/>
    <w:basedOn w:val="21"/>
    <w:uiPriority w:val="0"/>
    <w:rPr>
      <w:rFonts w:ascii="Times New Roman" w:hAnsi="Times New Roman" w:cs="Times New Roman"/>
      <w:sz w:val="18"/>
      <w:szCs w:val="18"/>
    </w:rPr>
  </w:style>
  <w:style w:type="character" w:customStyle="1" w:styleId="28">
    <w:name w:val="Header Char"/>
    <w:basedOn w:val="21"/>
    <w:uiPriority w:val="0"/>
    <w:rPr>
      <w:rFonts w:ascii="Times New Roman" w:hAnsi="Times New Roman" w:cs="Times New Roman"/>
      <w:sz w:val="18"/>
      <w:szCs w:val="18"/>
    </w:rPr>
  </w:style>
  <w:style w:type="paragraph" w:customStyle="1" w:styleId="29">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uiPriority w:val="0"/>
    <w:pPr>
      <w:ind w:firstLine="200" w:firstLineChars="200"/>
    </w:pPr>
  </w:style>
  <w:style w:type="paragraph" w:customStyle="1" w:styleId="31">
    <w:name w:val="TOC 标题1"/>
    <w:basedOn w:val="2"/>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2"/>
    <w:next w:val="1"/>
    <w:uiPriority w:val="0"/>
    <w:pPr>
      <w:widowControl/>
      <w:spacing w:before="480" w:after="0" w:line="276" w:lineRule="auto"/>
      <w:jc w:val="left"/>
      <w:outlineLvl w:val="9"/>
    </w:pPr>
    <w:rPr>
      <w:rFonts w:ascii="Cambria" w:hAnsi="Cambria"/>
      <w:color w:val="365F91"/>
      <w:kern w:val="0"/>
      <w:sz w:val="28"/>
      <w:szCs w:val="28"/>
    </w:rPr>
  </w:style>
  <w:style w:type="paragraph" w:customStyle="1" w:styleId="33">
    <w:name w:val="TOC 标题2"/>
    <w:basedOn w:val="2"/>
    <w:next w:val="1"/>
    <w:uiPriority w:val="0"/>
    <w:pPr>
      <w:widowControl/>
      <w:spacing w:before="240" w:after="0" w:line="259" w:lineRule="auto"/>
      <w:jc w:val="left"/>
      <w:outlineLvl w:val="9"/>
    </w:pPr>
    <w:rPr>
      <w:rFonts w:ascii="等线 Light" w:eastAsia="等线 Light"/>
      <w:b w:val="0"/>
      <w:bCs w:val="0"/>
      <w:color w:val="2F5496"/>
      <w:kern w:val="0"/>
      <w:sz w:val="32"/>
      <w:szCs w:val="32"/>
    </w:rPr>
  </w:style>
  <w:style w:type="paragraph" w:styleId="34">
    <w:name w:val="List Paragraph"/>
    <w:basedOn w:val="1"/>
    <w:uiPriority w:val="0"/>
    <w:pPr>
      <w:ind w:firstLine="200" w:firstLineChars="200"/>
    </w:pPr>
  </w:style>
  <w:style w:type="character" w:customStyle="1" w:styleId="35">
    <w:name w:val="纯文本 Char"/>
    <w:basedOn w:val="21"/>
    <w:link w:val="9"/>
    <w:uiPriority w:val="99"/>
    <w:rPr>
      <w:rFonts w:ascii="宋体"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1223344"/>
          <c:y val="0.34622553"/>
          <c:w val="0.917695460000001"/>
          <c:h val="0.4610438"/>
        </c:manualLayout>
      </c:layout>
      <c:barChart>
        <c:barDir val="col"/>
        <c:grouping val="clustered"/>
        <c:varyColors val="0"/>
        <c:ser>
          <c:idx val="0"/>
          <c:order val="0"/>
          <c:tx>
            <c:strRef>
              <c:f>'Sheet1'!$B$1</c:f>
              <c:strCache>
                <c:ptCount val="1"/>
                <c:pt idx="0">
                  <c:v>收、支总计</c:v>
                </c:pt>
              </c:strCache>
            </c:strRef>
          </c:tx>
          <c:spPr>
            <a:solidFill>
              <a:srgbClr val="4F81B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'Sheet1'!$A$2:$A$5</c:f>
              <c:numCache>
                <c:formatCode>General</c:formatCode>
                <c:ptCount val="4"/>
                <c:pt idx="0">
                  <c:v>2020</c:v>
                </c:pt>
                <c:pt idx="1">
                  <c:v>2019</c:v>
                </c:pt>
              </c:numCache>
            </c:numRef>
          </c:cat>
          <c:val>
            <c:numRef>
              <c:f>'Sheet1'!$B$2:$B$5</c:f>
              <c:numCache>
                <c:formatCode>General</c:formatCode>
                <c:ptCount val="4"/>
                <c:pt idx="0">
                  <c:v>365.32</c:v>
                </c:pt>
                <c:pt idx="1">
                  <c:v>457.88</c:v>
                </c:pt>
              </c:numCache>
            </c:numRef>
          </c:val>
        </c:ser>
        <c:ser>
          <c:idx val="1"/>
          <c:order val="1"/>
          <c:tx>
            <c:strRef>
              <c:f>'Sheet1'!$C$1</c:f>
              <c:strCache>
                <c:ptCount val="1"/>
                <c:pt idx="0">
                  <c:v>系列 2</c:v>
                </c:pt>
              </c:strCache>
            </c:strRef>
          </c:tx>
          <c:spPr>
            <a:solidFill>
              <a:srgbClr val="C0504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'Sheet1'!$A$2:$A$5</c:f>
              <c:numCache>
                <c:formatCode>General</c:formatCode>
                <c:ptCount val="4"/>
                <c:pt idx="0">
                  <c:v>2020</c:v>
                </c:pt>
                <c:pt idx="1">
                  <c:v>2019</c:v>
                </c:pt>
              </c:numCache>
            </c:numRef>
          </c:cat>
          <c:val>
            <c:numRef>
              <c:f>'Sheet1'!$C$2:$C$5</c:f>
              <c:numCache>
                <c:formatCode>General</c:formatCode>
                <c:ptCount val="4"/>
              </c:numCache>
            </c:numRef>
          </c:val>
        </c:ser>
        <c:ser>
          <c:idx val="2"/>
          <c:order val="2"/>
          <c:tx>
            <c:strRef>
              <c:f>'Sheet1'!$D$1</c:f>
              <c:strCache>
                <c:ptCount val="1"/>
                <c:pt idx="0">
                  <c:v>系列 3</c:v>
                </c:pt>
              </c:strCache>
            </c:strRef>
          </c:tx>
          <c:spPr>
            <a:solidFill>
              <a:srgbClr val="9BBB59">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'Sheet1'!$A$2:$A$5</c:f>
              <c:numCache>
                <c:formatCode>General</c:formatCode>
                <c:ptCount val="4"/>
                <c:pt idx="0">
                  <c:v>2020</c:v>
                </c:pt>
                <c:pt idx="1">
                  <c:v>2019</c:v>
                </c:pt>
              </c:numCache>
            </c:numRef>
          </c:cat>
          <c:val>
            <c:numRef>
              <c:f>'Sheet1'!$D$2:$D$5</c:f>
              <c:numCache>
                <c:formatCode>General</c:formatCode>
                <c:ptCount val="4"/>
              </c:numCache>
            </c:numRef>
          </c:val>
        </c:ser>
        <c:dLbls>
          <c:showLegendKey val="0"/>
          <c:showVal val="1"/>
          <c:showCatName val="0"/>
          <c:showSerName val="0"/>
          <c:showPercent val="0"/>
          <c:showBubbleSize val="0"/>
        </c:dLbls>
        <c:gapWidth val="65"/>
        <c:axId val="172281216"/>
        <c:axId val="159683712"/>
      </c:barChart>
      <c:catAx>
        <c:axId val="172281216"/>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panose="020B0602030504020204"/>
              </a:defRPr>
            </a:pPr>
          </a:p>
        </c:txPr>
        <c:crossAx val="159683712"/>
        <c:crosses val="autoZero"/>
        <c:auto val="1"/>
        <c:lblAlgn val="ctr"/>
        <c:lblOffset val="100"/>
        <c:noMultiLvlLbl val="0"/>
      </c:catAx>
      <c:valAx>
        <c:axId val="159683712"/>
        <c:scaling>
          <c:orientation val="minMax"/>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172281216"/>
        <c:crossesAt val="1"/>
        <c:crossBetween val="between"/>
      </c:valAx>
      <c:spPr>
        <a:noFill/>
        <a:ln>
          <a:noFill/>
        </a:ln>
      </c:spPr>
    </c:plotArea>
    <c:legend>
      <c:legendPos val="b"/>
      <c:legendEntry>
        <c:idx val="1"/>
        <c:delete val="1"/>
      </c:legendEntry>
      <c:legendEntry>
        <c:idx val="2"/>
        <c:delete val="1"/>
      </c:legendEntry>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panose="020B0602030504020204"/>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08080"/>
                </a:solidFill>
                <a:latin typeface="AR PL UKai CN"/>
                <a:ea typeface="AR PL UKai CN"/>
                <a:cs typeface="Lucida Sans" panose="020B0602030504020204"/>
              </a:defRPr>
            </a:pPr>
            <a:r>
              <a:rPr lang="zh-CN" altLang="en-US"/>
              <a:t>收入决算</a:t>
            </a:r>
            <a:endParaRPr lang="zh-CN"/>
          </a:p>
        </c:rich>
      </c:tx>
      <c:layout/>
      <c:overlay val="0"/>
      <c:spPr>
        <a:noFill/>
        <a:ln>
          <a:noFill/>
        </a:ln>
      </c:spPr>
    </c:title>
    <c:autoTitleDeleted val="0"/>
    <c:plotArea>
      <c:layout/>
      <c:pieChart>
        <c:varyColors val="1"/>
        <c:ser>
          <c:idx val="0"/>
          <c:order val="0"/>
          <c:tx>
            <c:strRef>
              <c:f>'Sheet1 (2)'!#REF!</c:f>
              <c:strCache>
                <c:ptCount val="1"/>
                <c:pt idx="0">
                  <c:v/>
                </c:pt>
              </c:strCache>
            </c:strRef>
          </c:tx>
          <c:spPr>
            <a:ln>
              <a:noFill/>
            </a:ln>
          </c:spPr>
          <c:explosion val="0"/>
          <c:dPt>
            <c:idx val="0"/>
            <c:bubble3D val="0"/>
            <c:spPr>
              <a:gradFill rotWithShape="1">
                <a:gsLst>
                  <a:gs pos="0">
                    <a:srgbClr val="A3C4FF">
                      <a:alpha val="100000"/>
                    </a:srgbClr>
                  </a:gs>
                  <a:gs pos="35000">
                    <a:srgbClr val="BFD5FF">
                      <a:alpha val="100000"/>
                    </a:srgbClr>
                  </a:gs>
                  <a:gs pos="100000">
                    <a:srgbClr val="E5EEFF">
                      <a:alpha val="100000"/>
                    </a:srgbClr>
                  </a:gs>
                </a:gsLst>
                <a:lin ang="16200000" scaled="1"/>
              </a:gradFill>
              <a:ln w="6350">
                <a:solidFill>
                  <a:srgbClr val="4D7EB9"/>
                </a:solidFill>
                <a:prstDash val="solid"/>
              </a:ln>
              <a:effectLst>
                <a:outerShdw dist="35921" dir="2700000" algn="br">
                  <a:srgbClr val="000000"/>
                </a:outerShdw>
              </a:effectLst>
            </c:spPr>
          </c:dPt>
          <c:dPt>
            <c:idx val="1"/>
            <c:bubble3D val="0"/>
            <c:spPr>
              <a:gradFill rotWithShape="1">
                <a:gsLst>
                  <a:gs pos="0">
                    <a:srgbClr val="FFA2A1">
                      <a:alpha val="100000"/>
                    </a:srgbClr>
                  </a:gs>
                  <a:gs pos="35000">
                    <a:srgbClr val="FFBEBD">
                      <a:alpha val="100000"/>
                    </a:srgbClr>
                  </a:gs>
                  <a:gs pos="100000">
                    <a:srgbClr val="FFE5E5">
                      <a:alpha val="100000"/>
                    </a:srgbClr>
                  </a:gs>
                </a:gsLst>
                <a:lin ang="16200000" scaled="1"/>
              </a:gradFill>
              <a:ln w="6350">
                <a:solidFill>
                  <a:srgbClr val="BC4E4B"/>
                </a:solidFill>
                <a:prstDash val="solid"/>
              </a:ln>
              <a:effectLst>
                <a:outerShdw dist="35921" dir="2700000" algn="br">
                  <a:srgbClr val="000000"/>
                </a:outerShdw>
              </a:effectLst>
            </c:spPr>
          </c:dPt>
          <c:dPt>
            <c:idx val="2"/>
            <c:bubble3D val="0"/>
            <c:spPr>
              <a:gradFill rotWithShape="1">
                <a:gsLst>
                  <a:gs pos="0">
                    <a:srgbClr val="DAFDA7">
                      <a:alpha val="100000"/>
                    </a:srgbClr>
                  </a:gs>
                  <a:gs pos="35000">
                    <a:srgbClr val="E4FDC2">
                      <a:alpha val="100000"/>
                    </a:srgbClr>
                  </a:gs>
                  <a:gs pos="100000">
                    <a:srgbClr val="F5FFE6">
                      <a:alpha val="100000"/>
                    </a:srgbClr>
                  </a:gs>
                </a:gsLst>
                <a:lin ang="16200000" scaled="1"/>
              </a:gradFill>
              <a:ln w="6350">
                <a:solidFill>
                  <a:srgbClr val="97B757"/>
                </a:solidFill>
                <a:prstDash val="solid"/>
              </a:ln>
              <a:effectLst>
                <a:outerShdw dist="35921" dir="2700000" algn="br">
                  <a:srgbClr val="000000"/>
                </a:outerShdw>
              </a:effectLst>
            </c:spPr>
          </c:dPt>
          <c:dPt>
            <c:idx val="3"/>
            <c:bubble3D val="0"/>
            <c:spPr>
              <a:gradFill rotWithShape="1">
                <a:gsLst>
                  <a:gs pos="0">
                    <a:srgbClr val="C9B5E8">
                      <a:alpha val="100000"/>
                    </a:srgbClr>
                  </a:gs>
                  <a:gs pos="35000">
                    <a:srgbClr val="D9CBEE">
                      <a:alpha val="100000"/>
                    </a:srgbClr>
                  </a:gs>
                  <a:gs pos="100000">
                    <a:srgbClr val="F0EAF9">
                      <a:alpha val="100000"/>
                    </a:srgbClr>
                  </a:gs>
                </a:gsLst>
                <a:lin ang="16200000" scaled="1"/>
              </a:gradFill>
              <a:ln w="6350">
                <a:solidFill>
                  <a:srgbClr val="7D629E"/>
                </a:solidFill>
                <a:prstDash val="solid"/>
              </a:ln>
              <a:effectLst>
                <a:outerShdw dist="35921" dir="2700000" algn="br">
                  <a:srgbClr val="000000"/>
                </a:outerShdw>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595959"/>
                        </a:solidFill>
                        <a:latin typeface="AR PL UKai CN"/>
                        <a:ea typeface="AR PL UKai CN"/>
                        <a:cs typeface="Lucida Sans" panose="020B0602030504020204"/>
                      </a:defRPr>
                    </a:pPr>
                    <a:r>
                      <a:rPr lang="zh-CN" sz="900" b="0" i="0" u="none" strike="noStrike" baseline="0">
                        <a:solidFill>
                          <a:srgbClr val="595959"/>
                        </a:solidFill>
                        <a:latin typeface="AR PL UKai CN"/>
                        <a:ea typeface="AR PL UKai CN"/>
                        <a:cs typeface="Lucida Sans" panose="020B0602030504020204"/>
                      </a:rPr>
                      <a:t>312.6, 85%</a:t>
                    </a:r>
                    <a:endParaRPr lang="zh-CN" sz="900" b="0" i="0" u="none" strike="noStrike" baseline="0">
                      <a:solidFill>
                        <a:srgbClr val="595959"/>
                      </a:solidFill>
                      <a:latin typeface="AR PL UKai CN"/>
                      <a:ea typeface="AR PL UKai CN"/>
                      <a:cs typeface="Lucida Sans" panose="020B0602030504020204"/>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595959"/>
                      </a:solidFill>
                      <a:latin typeface="AR PL UKai CN"/>
                      <a:ea typeface="AR PL UKai CN"/>
                      <a:cs typeface="Lucida Sans" panose="020B0602030504020204"/>
                    </a:defRPr>
                  </a:pPr>
                </a:p>
              </c:txPr>
              <c:dLblPos val="ctr"/>
              <c:showLegendKey val="0"/>
              <c:showVal val="1"/>
              <c:showCatName val="0"/>
              <c:showSerName val="0"/>
              <c:showPercent val="1"/>
              <c:showBubbleSize val="0"/>
              <c:extLst>
                <c:ext xmlns:c15="http://schemas.microsoft.com/office/drawing/2012/chart" uri="{CE6537A1-D6FC-4f65-9D91-7224C49458BB}"/>
              </c:extLst>
            </c:dLbl>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595959"/>
                    </a:solidFill>
                    <a:latin typeface="AR PL UKai CN"/>
                    <a:ea typeface="AR PL UKai CN"/>
                    <a:cs typeface="Lucida Sans" panose="020B0602030504020204"/>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(2)'!$A$2:$A$5</c:f>
              <c:strCache>
                <c:ptCount val="4"/>
                <c:pt idx="0">
                  <c:v>一般公共预算</c:v>
                </c:pt>
                <c:pt idx="1">
                  <c:v>收入合计</c:v>
                </c:pt>
              </c:strCache>
            </c:strRef>
          </c:cat>
          <c:val>
            <c:numRef>
              <c:f>'Sheet1 (2)'!$B$2:$B$5</c:f>
              <c:numCache>
                <c:formatCode>General</c:formatCode>
                <c:ptCount val="4"/>
                <c:pt idx="0">
                  <c:v>312.6</c:v>
                </c:pt>
                <c:pt idx="1">
                  <c:v>365.31</c:v>
                </c:pt>
              </c:numCache>
            </c:numRef>
          </c:val>
        </c:ser>
        <c:dLbls>
          <c:showLegendKey val="0"/>
          <c:showVal val="1"/>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08080"/>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08080"/>
                </a:solidFill>
                <a:latin typeface="AR PL UKai CN"/>
                <a:ea typeface="AR PL UKai CN"/>
                <a:cs typeface="Lucida Sans" panose="020B0602030504020204"/>
              </a:defRPr>
            </a:pPr>
            <a:r>
              <a:rPr lang="zh-CN"/>
              <a:t>支出合计</a:t>
            </a:r>
            <a:endParaRPr lang="zh-CN"/>
          </a:p>
        </c:rich>
      </c:tx>
      <c:layout/>
      <c:overlay val="0"/>
      <c:spPr>
        <a:noFill/>
        <a:ln>
          <a:noFill/>
        </a:ln>
      </c:spPr>
    </c:title>
    <c:autoTitleDeleted val="0"/>
    <c:plotArea>
      <c:layout/>
      <c:pieChart>
        <c:varyColors val="1"/>
        <c:ser>
          <c:idx val="0"/>
          <c:order val="0"/>
          <c:tx>
            <c:strRef>
              <c:f>'Sheet1 (3)'!$B$1</c:f>
              <c:strCache>
                <c:ptCount val="1"/>
                <c:pt idx="0">
                  <c:v>支出合计</c:v>
                </c:pt>
              </c:strCache>
            </c:strRef>
          </c:tx>
          <c:spPr>
            <a:ln>
              <a:noFill/>
            </a:ln>
          </c:spPr>
          <c:explosion val="0"/>
          <c:dPt>
            <c:idx val="0"/>
            <c:bubble3D val="0"/>
            <c:spPr>
              <a:gradFill rotWithShape="1">
                <a:gsLst>
                  <a:gs pos="0">
                    <a:srgbClr val="A3C4FF">
                      <a:alpha val="100000"/>
                    </a:srgbClr>
                  </a:gs>
                  <a:gs pos="35000">
                    <a:srgbClr val="BFD5FF">
                      <a:alpha val="100000"/>
                    </a:srgbClr>
                  </a:gs>
                  <a:gs pos="100000">
                    <a:srgbClr val="E5EEFF">
                      <a:alpha val="100000"/>
                    </a:srgbClr>
                  </a:gs>
                </a:gsLst>
                <a:lin ang="16200000" scaled="1"/>
              </a:gradFill>
              <a:ln w="6350">
                <a:solidFill>
                  <a:srgbClr val="4D7EB9"/>
                </a:solidFill>
                <a:prstDash val="solid"/>
              </a:ln>
              <a:effectLst>
                <a:outerShdw dist="35921" dir="2700000" algn="br">
                  <a:srgbClr val="000000"/>
                </a:outerShdw>
              </a:effectLst>
            </c:spPr>
          </c:dPt>
          <c:dPt>
            <c:idx val="1"/>
            <c:bubble3D val="0"/>
            <c:spPr>
              <a:gradFill rotWithShape="1">
                <a:gsLst>
                  <a:gs pos="0">
                    <a:srgbClr val="FFA2A1">
                      <a:alpha val="100000"/>
                    </a:srgbClr>
                  </a:gs>
                  <a:gs pos="35000">
                    <a:srgbClr val="FFBEBD">
                      <a:alpha val="100000"/>
                    </a:srgbClr>
                  </a:gs>
                  <a:gs pos="100000">
                    <a:srgbClr val="FFE5E5">
                      <a:alpha val="100000"/>
                    </a:srgbClr>
                  </a:gs>
                </a:gsLst>
                <a:lin ang="16200000" scaled="1"/>
              </a:gradFill>
              <a:ln w="6350">
                <a:solidFill>
                  <a:srgbClr val="BC4E4B"/>
                </a:solidFill>
                <a:prstDash val="solid"/>
              </a:ln>
              <a:effectLst>
                <a:outerShdw dist="35921" dir="2700000" algn="br">
                  <a:srgbClr val="000000"/>
                </a:outerShdw>
              </a:effectLst>
            </c:spPr>
          </c:dPt>
          <c:dPt>
            <c:idx val="2"/>
            <c:bubble3D val="0"/>
            <c:spPr>
              <a:gradFill rotWithShape="1">
                <a:gsLst>
                  <a:gs pos="0">
                    <a:srgbClr val="DAFDA7">
                      <a:alpha val="100000"/>
                    </a:srgbClr>
                  </a:gs>
                  <a:gs pos="35000">
                    <a:srgbClr val="E4FDC2">
                      <a:alpha val="100000"/>
                    </a:srgbClr>
                  </a:gs>
                  <a:gs pos="100000">
                    <a:srgbClr val="F5FFE6">
                      <a:alpha val="100000"/>
                    </a:srgbClr>
                  </a:gs>
                </a:gsLst>
                <a:lin ang="16200000" scaled="1"/>
              </a:gradFill>
              <a:ln w="6350">
                <a:solidFill>
                  <a:srgbClr val="97B757"/>
                </a:solidFill>
                <a:prstDash val="solid"/>
              </a:ln>
              <a:effectLst>
                <a:outerShdw dist="35921" dir="2700000" algn="br">
                  <a:srgbClr val="000000"/>
                </a:outerShdw>
              </a:effectLst>
            </c:spPr>
          </c:dPt>
          <c:dPt>
            <c:idx val="3"/>
            <c:bubble3D val="0"/>
            <c:spPr>
              <a:gradFill rotWithShape="1">
                <a:gsLst>
                  <a:gs pos="0">
                    <a:srgbClr val="C9B5E8">
                      <a:alpha val="100000"/>
                    </a:srgbClr>
                  </a:gs>
                  <a:gs pos="35000">
                    <a:srgbClr val="D9CBEE">
                      <a:alpha val="100000"/>
                    </a:srgbClr>
                  </a:gs>
                  <a:gs pos="100000">
                    <a:srgbClr val="F0EAF9">
                      <a:alpha val="100000"/>
                    </a:srgbClr>
                  </a:gs>
                </a:gsLst>
                <a:lin ang="16200000" scaled="1"/>
              </a:gradFill>
              <a:ln w="6350">
                <a:solidFill>
                  <a:srgbClr val="7D629E"/>
                </a:solidFill>
                <a:prstDash val="solid"/>
              </a:ln>
              <a:effectLst>
                <a:outerShdw dist="35921" dir="2700000" algn="br">
                  <a:srgbClr val="000000"/>
                </a:outerShdw>
              </a:effectLst>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595959"/>
                    </a:solidFill>
                    <a:latin typeface="AR PL UKai CN"/>
                    <a:ea typeface="AR PL UKai CN"/>
                    <a:cs typeface="Lucida Sans" panose="020B0602030504020204"/>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(3)'!$A$2:$A$5</c:f>
              <c:strCache>
                <c:ptCount val="2"/>
                <c:pt idx="0">
                  <c:v>基本支出</c:v>
                </c:pt>
                <c:pt idx="1">
                  <c:v>项目支出</c:v>
                </c:pt>
              </c:strCache>
            </c:strRef>
          </c:cat>
          <c:val>
            <c:numRef>
              <c:f>'Sheet1 (3)'!$B$2:$B$5</c:f>
              <c:numCache>
                <c:formatCode>General</c:formatCode>
                <c:ptCount val="4"/>
                <c:pt idx="0">
                  <c:v>273.24</c:v>
                </c:pt>
                <c:pt idx="1">
                  <c:v>72.5</c:v>
                </c:pt>
              </c:numCache>
            </c:numRef>
          </c:val>
        </c:ser>
        <c:dLbls>
          <c:showLegendKey val="0"/>
          <c:showVal val="0"/>
          <c:showCatName val="0"/>
          <c:showSerName val="0"/>
          <c:showPercent val="1"/>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08080"/>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AR PL UKai CN"/>
                <a:ea typeface="AR PL UKai CN"/>
                <a:cs typeface="Lucida Sans" panose="020B0602030504020204"/>
              </a:defRPr>
            </a:pPr>
            <a:r>
              <a:rPr lang="zh-CN"/>
              <a:t>收、支总计</a:t>
            </a:r>
            <a:endParaRPr lang="zh-CN"/>
          </a:p>
        </c:rich>
      </c:tx>
      <c:layout>
        <c:manualLayout>
          <c:xMode val="edge"/>
          <c:yMode val="edge"/>
          <c:x val="0.345729505653414"/>
          <c:y val="0.0817129956888218"/>
        </c:manualLayout>
      </c:layout>
      <c:overlay val="0"/>
      <c:spPr>
        <a:noFill/>
        <a:ln>
          <a:noFill/>
        </a:ln>
      </c:spPr>
    </c:title>
    <c:autoTitleDeleted val="0"/>
    <c:plotArea>
      <c:layout>
        <c:manualLayout>
          <c:layoutTarget val="inner"/>
          <c:xMode val="edge"/>
          <c:yMode val="edge"/>
          <c:x val="0.0245119602434849"/>
          <c:y val="0.288016112789527"/>
          <c:w val="0.899586265931138"/>
          <c:h val="0.629083585095669"/>
        </c:manualLayout>
      </c:layout>
      <c:barChart>
        <c:barDir val="col"/>
        <c:grouping val="clustered"/>
        <c:varyColors val="0"/>
        <c:ser>
          <c:idx val="0"/>
          <c:order val="0"/>
          <c:tx>
            <c:strRef>
              <c:f>'Sheet1 (4)'!$B$1</c:f>
              <c:strCache>
                <c:ptCount val="1"/>
                <c:pt idx="0">
                  <c:v>系列 1</c:v>
                </c:pt>
              </c:strCache>
            </c:strRef>
          </c:tx>
          <c:spPr>
            <a:solidFill>
              <a:srgbClr val="4F81B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(4)'!$A$2:$A$5</c:f>
              <c:numCache>
                <c:formatCode>General</c:formatCode>
                <c:ptCount val="4"/>
                <c:pt idx="0">
                  <c:v>2020</c:v>
                </c:pt>
                <c:pt idx="1">
                  <c:v>2019</c:v>
                </c:pt>
              </c:numCache>
            </c:numRef>
          </c:cat>
          <c:val>
            <c:numRef>
              <c:f>'Sheet1 (4)'!$B$2:$B$5</c:f>
              <c:numCache>
                <c:formatCode>General</c:formatCode>
                <c:ptCount val="4"/>
                <c:pt idx="0">
                  <c:v>365.31</c:v>
                </c:pt>
              </c:numCache>
            </c:numRef>
          </c:val>
        </c:ser>
        <c:ser>
          <c:idx val="1"/>
          <c:order val="1"/>
          <c:tx>
            <c:strRef>
              <c:f>'Sheet1 (4)'!$C$1</c:f>
              <c:strCache>
                <c:ptCount val="1"/>
                <c:pt idx="0">
                  <c:v/>
                </c:pt>
              </c:strCache>
            </c:strRef>
          </c:tx>
          <c:spPr>
            <a:solidFill>
              <a:srgbClr val="C0504D">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(4)'!$A$2:$A$5</c:f>
              <c:numCache>
                <c:formatCode>General</c:formatCode>
                <c:ptCount val="4"/>
                <c:pt idx="0">
                  <c:v>2020</c:v>
                </c:pt>
                <c:pt idx="1">
                  <c:v>2019</c:v>
                </c:pt>
              </c:numCache>
            </c:numRef>
          </c:cat>
          <c:val>
            <c:numRef>
              <c:f>'Sheet1 (4)'!$C$2:$C$5</c:f>
              <c:numCache>
                <c:formatCode>General</c:formatCode>
                <c:ptCount val="4"/>
                <c:pt idx="1">
                  <c:v>457.88</c:v>
                </c:pt>
              </c:numCache>
            </c:numRef>
          </c:val>
        </c:ser>
        <c:ser>
          <c:idx val="2"/>
          <c:order val="2"/>
          <c:tx>
            <c:strRef>
              <c:f>'Sheet1 (4)'!$D$1</c:f>
              <c:strCache>
                <c:ptCount val="1"/>
                <c:pt idx="0">
                  <c:v/>
                </c:pt>
              </c:strCache>
            </c:strRef>
          </c:tx>
          <c:spPr>
            <a:solidFill>
              <a:srgbClr val="9BBB59">
                <a:alpha val="85000"/>
              </a:srgbClr>
            </a:solidFill>
            <a:ln w="6350">
              <a:solidFill>
                <a:srgbClr val="FFFFFF"/>
              </a:solidFill>
              <a:prstDash val="solid"/>
            </a:ln>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panose="020B0602030504020204"/>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(4)'!$A$2:$A$5</c:f>
              <c:numCache>
                <c:formatCode>General</c:formatCode>
                <c:ptCount val="4"/>
                <c:pt idx="0">
                  <c:v>2020</c:v>
                </c:pt>
                <c:pt idx="1">
                  <c:v>2019</c:v>
                </c:pt>
              </c:numCache>
            </c:numRef>
          </c:cat>
          <c:val>
            <c:numRef>
              <c:f>'Sheet1 (4)'!$D$2:$D$5</c:f>
              <c:numCache>
                <c:formatCode>General</c:formatCode>
                <c:ptCount val="4"/>
              </c:numCache>
            </c:numRef>
          </c:val>
        </c:ser>
        <c:dLbls>
          <c:showLegendKey val="0"/>
          <c:showVal val="1"/>
          <c:showCatName val="0"/>
          <c:showSerName val="0"/>
          <c:showPercent val="0"/>
          <c:showBubbleSize val="0"/>
        </c:dLbls>
        <c:gapWidth val="65"/>
        <c:axId val="160239616"/>
        <c:axId val="160241152"/>
      </c:barChart>
      <c:catAx>
        <c:axId val="160239616"/>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panose="020B0602030504020204"/>
              </a:defRPr>
            </a:pPr>
          </a:p>
        </c:txPr>
        <c:crossAx val="160241152"/>
        <c:crosses val="autoZero"/>
        <c:auto val="1"/>
        <c:lblAlgn val="ctr"/>
        <c:lblOffset val="100"/>
        <c:noMultiLvlLbl val="0"/>
      </c:catAx>
      <c:valAx>
        <c:axId val="160241152"/>
        <c:scaling>
          <c:orientation val="minMax"/>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160239616"/>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panose="020B0602030504020204"/>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cap="all" baseline="0">
                <a:solidFill>
                  <a:srgbClr val="595959"/>
                </a:solidFill>
                <a:latin typeface="AR PL UKai CN"/>
                <a:ea typeface="AR PL UKai CN"/>
                <a:cs typeface="Lucida Sans" panose="020B0602030504020204"/>
              </a:defRPr>
            </a:pPr>
            <a:r>
              <a:rPr lang="zh-CN"/>
              <a:t>财政拨款支出</a:t>
            </a:r>
            <a:endParaRPr lang="zh-CN"/>
          </a:p>
        </c:rich>
      </c:tx>
      <c:layout>
        <c:manualLayout>
          <c:xMode val="edge"/>
          <c:yMode val="edge"/>
          <c:x val="0.35095263"/>
          <c:y val="0.025372125"/>
        </c:manualLayout>
      </c:layout>
      <c:overlay val="0"/>
      <c:spPr>
        <a:noFill/>
        <a:ln>
          <a:noFill/>
        </a:ln>
      </c:spPr>
    </c:title>
    <c:autoTitleDeleted val="0"/>
    <c:plotArea>
      <c:layout>
        <c:manualLayout>
          <c:layoutTarget val="inner"/>
          <c:xMode val="edge"/>
          <c:yMode val="edge"/>
          <c:x val="0.09215984"/>
          <c:y val="0.37056834"/>
          <c:w val="0.90278196"/>
          <c:h val="0.504533199999999"/>
        </c:manualLayout>
      </c:layout>
      <c:barChart>
        <c:barDir val="col"/>
        <c:grouping val="clustered"/>
        <c:varyColors val="0"/>
        <c:ser>
          <c:idx val="0"/>
          <c:order val="0"/>
          <c:tx>
            <c:strRef>
              <c:f>'Sheet1 (5)'!$B$1</c:f>
              <c:strCache>
                <c:ptCount val="1"/>
                <c:pt idx="0">
                  <c:v>系列 1</c:v>
                </c:pt>
              </c:strCache>
            </c:strRef>
          </c:tx>
          <c:spPr>
            <a:solidFill>
              <a:srgbClr val="4F81BD"/>
            </a:solidFill>
            <a:ln>
              <a:noFill/>
            </a:ln>
          </c:spPr>
          <c:invertIfNegative val="0"/>
          <c:dLbls>
            <c:spPr>
              <a:noFill/>
              <a:ln>
                <a:noFill/>
              </a:ln>
              <a:effectLst/>
            </c:spPr>
            <c:txPr>
              <a:bodyPr rot="-5400000" spcFirstLastPara="0" vertOverflow="ellipsis" vert="horz" wrap="square" lIns="38100" tIns="19050" rIns="38100" bIns="19050" anchor="ctr" anchorCtr="1"/>
              <a:lstStyle/>
              <a:p>
                <a:pPr>
                  <a:defRPr lang="zh-CN" sz="800" b="0" i="0" u="none" strike="noStrike" kern="1200" baseline="0">
                    <a:solidFill>
                      <a:srgbClr val="80808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(5)'!$A$2:$A$5</c:f>
              <c:numCache>
                <c:formatCode>General</c:formatCode>
                <c:ptCount val="4"/>
                <c:pt idx="0">
                  <c:v>2019</c:v>
                </c:pt>
                <c:pt idx="1">
                  <c:v>2020</c:v>
                </c:pt>
              </c:numCache>
            </c:numRef>
          </c:cat>
          <c:val>
            <c:numRef>
              <c:f>'Sheet1 (5)'!$B$3:$B$5</c:f>
              <c:numCache>
                <c:formatCode>General</c:formatCode>
                <c:ptCount val="3"/>
              </c:numCache>
            </c:numRef>
          </c:val>
        </c:ser>
        <c:ser>
          <c:idx val="1"/>
          <c:order val="1"/>
          <c:tx>
            <c:strRef>
              <c:f>'Sheet1 (5)'!$C$1</c:f>
              <c:strCache>
                <c:ptCount val="1"/>
                <c:pt idx="0">
                  <c:v>系列 2</c:v>
                </c:pt>
              </c:strCache>
            </c:strRef>
          </c:tx>
          <c:spPr>
            <a:solidFill>
              <a:srgbClr val="C0504D"/>
            </a:solidFill>
            <a:ln>
              <a:noFill/>
            </a:ln>
          </c:spPr>
          <c:invertIfNegative val="0"/>
          <c:dLbls>
            <c:spPr>
              <a:noFill/>
              <a:ln>
                <a:noFill/>
              </a:ln>
              <a:effectLst/>
            </c:spPr>
            <c:txPr>
              <a:bodyPr rot="-5400000" spcFirstLastPara="0" vertOverflow="ellipsis" vert="horz" wrap="square" lIns="38100" tIns="19050" rIns="38100" bIns="19050" anchor="ctr" anchorCtr="1"/>
              <a:lstStyle/>
              <a:p>
                <a:pPr>
                  <a:defRPr lang="zh-CN" sz="800" b="0" i="0" u="none" strike="noStrike" kern="1200" baseline="0">
                    <a:solidFill>
                      <a:srgbClr val="80808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(5)'!$A$2:$A$5</c:f>
              <c:numCache>
                <c:formatCode>General</c:formatCode>
                <c:ptCount val="4"/>
                <c:pt idx="0">
                  <c:v>2019</c:v>
                </c:pt>
                <c:pt idx="1">
                  <c:v>2020</c:v>
                </c:pt>
              </c:numCache>
            </c:numRef>
          </c:cat>
          <c:val>
            <c:numRef>
              <c:f>'Sheet1 (5)'!$C$2:$C$5</c:f>
              <c:numCache>
                <c:formatCode>General</c:formatCode>
                <c:ptCount val="4"/>
                <c:pt idx="1">
                  <c:v>312.6</c:v>
                </c:pt>
              </c:numCache>
            </c:numRef>
          </c:val>
        </c:ser>
        <c:ser>
          <c:idx val="2"/>
          <c:order val="2"/>
          <c:tx>
            <c:strRef>
              <c:f>'Sheet1 (5)'!$D$1</c:f>
              <c:strCache>
                <c:ptCount val="1"/>
                <c:pt idx="0">
                  <c:v>系列 3</c:v>
                </c:pt>
              </c:strCache>
            </c:strRef>
          </c:tx>
          <c:spPr>
            <a:solidFill>
              <a:srgbClr val="9BBB59"/>
            </a:solidFill>
            <a:ln>
              <a:noFill/>
            </a:ln>
          </c:spPr>
          <c:invertIfNegative val="0"/>
          <c:dLbls>
            <c:spPr>
              <a:noFill/>
              <a:ln>
                <a:noFill/>
              </a:ln>
              <a:effectLst/>
            </c:spPr>
            <c:txPr>
              <a:bodyPr rot="-5400000" spcFirstLastPara="0" vertOverflow="ellipsis" vert="horz" wrap="square" lIns="38100" tIns="19050" rIns="38100" bIns="19050" anchor="ctr" anchorCtr="1"/>
              <a:lstStyle/>
              <a:p>
                <a:pPr>
                  <a:defRPr lang="zh-CN" sz="800" b="0" i="0" u="none" strike="noStrike" kern="1200" baseline="0">
                    <a:solidFill>
                      <a:srgbClr val="80808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 (5)'!$A$2:$A$5</c:f>
              <c:numCache>
                <c:formatCode>General</c:formatCode>
                <c:ptCount val="4"/>
                <c:pt idx="0">
                  <c:v>2019</c:v>
                </c:pt>
                <c:pt idx="1">
                  <c:v>2020</c:v>
                </c:pt>
              </c:numCache>
            </c:numRef>
          </c:cat>
          <c:val>
            <c:numRef>
              <c:f>'Sheet1 (5)'!$D$2:$D$5</c:f>
              <c:numCache>
                <c:formatCode>General</c:formatCode>
                <c:ptCount val="4"/>
                <c:pt idx="0">
                  <c:v>449.89</c:v>
                </c:pt>
              </c:numCache>
            </c:numRef>
          </c:val>
        </c:ser>
        <c:dLbls>
          <c:showLegendKey val="0"/>
          <c:showVal val="1"/>
          <c:showCatName val="0"/>
          <c:showSerName val="0"/>
          <c:showPercent val="0"/>
          <c:showBubbleSize val="0"/>
        </c:dLbls>
        <c:gapWidth val="444"/>
        <c:overlap val="-90"/>
        <c:axId val="160276480"/>
        <c:axId val="160278016"/>
      </c:barChart>
      <c:catAx>
        <c:axId val="160276480"/>
        <c:scaling>
          <c:orientation val="minMax"/>
        </c:scaling>
        <c:delete val="0"/>
        <c:axPos val="b"/>
        <c:majorGridlines>
          <c:spPr>
            <a:ln w="6350" cap="flat" cmpd="sng" algn="ctr">
              <a:solidFill>
                <a:srgbClr val="D9D9D9"/>
              </a:solidFill>
              <a:prstDash val="solid"/>
              <a:round/>
            </a:ln>
          </c:spPr>
        </c:majorGridlines>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800" b="0" i="0" u="none" strike="noStrike" kern="1200" cap="all" baseline="0">
                <a:solidFill>
                  <a:srgbClr val="595959"/>
                </a:solidFill>
                <a:latin typeface="AR PL UKai CN"/>
                <a:ea typeface="AR PL UKai CN"/>
                <a:cs typeface="Lucida Sans" panose="020B0602030504020204"/>
              </a:defRPr>
            </a:pPr>
          </a:p>
        </c:txPr>
        <c:crossAx val="160278016"/>
        <c:crosses val="autoZero"/>
        <c:auto val="1"/>
        <c:lblAlgn val="ctr"/>
        <c:lblOffset val="100"/>
        <c:noMultiLvlLbl val="0"/>
      </c:catAx>
      <c:valAx>
        <c:axId val="160278016"/>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160276480"/>
        <c:crossesAt val="1"/>
        <c:crossBetween val="between"/>
      </c:valAx>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a:t>
            </a:r>
            <a:endParaRPr lang="zh-CN"/>
          </a:p>
        </c:rich>
      </c:tx>
      <c:layout>
        <c:manualLayout>
          <c:xMode val="edge"/>
          <c:yMode val="edge"/>
          <c:x val="0.4026578"/>
          <c:y val="0.06664551"/>
        </c:manualLayout>
      </c:layout>
      <c:overlay val="0"/>
      <c:spPr>
        <a:noFill/>
        <a:ln>
          <a:noFill/>
        </a:ln>
      </c:spPr>
    </c:title>
    <c:autoTitleDeleted val="0"/>
    <c:plotArea>
      <c:layout/>
      <c:pieChart>
        <c:varyColors val="1"/>
        <c:ser>
          <c:idx val="0"/>
          <c:order val="0"/>
          <c:tx>
            <c:strRef>
              <c:f>'Sheet1 (6)'!$B$1</c:f>
              <c:strCache>
                <c:ptCount val="1"/>
                <c:pt idx="0">
                  <c:v>列2</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elete val="1"/>
          </c:dLbls>
          <c:cat>
            <c:strRef>
              <c:f>'Sheet1 (6)'!$A$2:$A$5</c:f>
              <c:strCache>
                <c:ptCount val="4"/>
                <c:pt idx="0">
                  <c:v>文化旅游体育与传媒</c:v>
                </c:pt>
                <c:pt idx="1">
                  <c:v>社会保障和就业</c:v>
                </c:pt>
                <c:pt idx="2">
                  <c:v>卫生健康支出</c:v>
                </c:pt>
                <c:pt idx="3">
                  <c:v>住房保障</c:v>
                </c:pt>
              </c:strCache>
            </c:strRef>
          </c:cat>
          <c:val>
            <c:numRef>
              <c:f>'Sheet1 (6)'!$B$2:$B$5</c:f>
              <c:numCache>
                <c:formatCode>General</c:formatCode>
                <c:ptCount val="4"/>
                <c:pt idx="0">
                  <c:v>278.11</c:v>
                </c:pt>
                <c:pt idx="1">
                  <c:v>32.86</c:v>
                </c:pt>
                <c:pt idx="2">
                  <c:v>14.05</c:v>
                </c:pt>
                <c:pt idx="3">
                  <c:v>20.72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en-US" altLang="zh-CN"/>
              <a:t>“</a:t>
            </a:r>
            <a:r>
              <a:rPr lang="zh-CN"/>
              <a:t>三公</a:t>
            </a:r>
            <a:r>
              <a:rPr lang="en-US" altLang="zh-CN"/>
              <a:t>”</a:t>
            </a:r>
            <a:r>
              <a:rPr lang="zh-CN"/>
              <a:t>经费</a:t>
            </a:r>
            <a:endParaRPr lang="zh-CN"/>
          </a:p>
        </c:rich>
      </c:tx>
      <c:layout>
        <c:manualLayout>
          <c:xMode val="edge"/>
          <c:yMode val="edge"/>
          <c:x val="0.44253317"/>
          <c:y val="0.022293782"/>
        </c:manualLayout>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elete val="1"/>
          </c:dLbls>
          <c:cat>
            <c:strRef>
              <c:f>'Sheet1 (7)'!$A$2:$A$5</c:f>
              <c:strCache>
                <c:ptCount val="4"/>
                <c:pt idx="0">
                  <c:v>公务用车维护费</c:v>
                </c:pt>
                <c:pt idx="1">
                  <c:v>公务接待</c:v>
                </c:pt>
              </c:strCache>
            </c:strRef>
          </c:cat>
          <c:val>
            <c:numRef>
              <c:f>'Sheet1 (7)'!$B$2:$B$5</c:f>
              <c:numCache>
                <c:formatCode>General</c:formatCode>
                <c:ptCount val="4"/>
                <c:pt idx="0">
                  <c:v>1.88</c:v>
                </c:pt>
                <c:pt idx="1">
                  <c:v>0.13</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1910</Words>
  <Characters>10890</Characters>
  <Lines>90</Lines>
  <Paragraphs>25</Paragraphs>
  <TotalTime>13</TotalTime>
  <ScaleCrop>false</ScaleCrop>
  <LinksUpToDate>false</LinksUpToDate>
  <CharactersWithSpaces>12775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2021-09-25T06:51:00Z</dcterms:created>
  <dc:creator>曹颖</dc:creator>
  <cp:lastModifiedBy>Jayk</cp:lastModifiedBy>
  <cp:lastPrinted>2021-09-25T06:43:00Z</cp:lastPrinted>
  <dcterms:modified xsi:type="dcterms:W3CDTF">2021-10-08T07:27:31Z</dcterms:modified>
  <dc:title>阿坝州部门决算说明</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B10C4F1DC897405DBFFEFD7452267E00</vt:lpwstr>
  </property>
</Properties>
</file>