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D13C9CE">
      <w:pPr>
        <w:rPr>
          <w:rFonts w:ascii="黑体" w:eastAsia="黑体"/>
          <w:sz w:val="32"/>
          <w:szCs w:val="32"/>
        </w:rPr>
      </w:pPr>
    </w:p>
    <w:p w14:paraId="4CFFD38D"/>
    <w:p w14:paraId="5211097F"/>
    <w:p w14:paraId="122E3CBD"/>
    <w:p w14:paraId="4E59DF80">
      <w:pPr>
        <w:ind w:firstLine="1050" w:firstLineChars="500"/>
      </w:pPr>
    </w:p>
    <w:p w14:paraId="4E838CF8">
      <w:pPr>
        <w:ind w:firstLine="1050" w:firstLineChars="500"/>
      </w:pPr>
    </w:p>
    <w:p w14:paraId="04CC0B36">
      <w:pPr>
        <w:ind w:firstLine="1760" w:firstLineChars="400"/>
        <w:rPr>
          <w:rFonts w:ascii="黑体" w:eastAsia="黑体"/>
          <w:sz w:val="44"/>
          <w:szCs w:val="44"/>
        </w:rPr>
      </w:pPr>
    </w:p>
    <w:p w14:paraId="30FF960B">
      <w:pPr>
        <w:ind w:firstLine="1760" w:firstLineChars="400"/>
        <w:rPr>
          <w:rFonts w:ascii="黑体" w:eastAsia="黑体"/>
          <w:sz w:val="44"/>
          <w:szCs w:val="44"/>
        </w:rPr>
      </w:pPr>
    </w:p>
    <w:p w14:paraId="3107E2F2">
      <w:pPr>
        <w:jc w:val="center"/>
        <w:rPr>
          <w:rFonts w:hint="default" w:ascii="黑体" w:eastAsia="黑体"/>
          <w:sz w:val="44"/>
          <w:szCs w:val="44"/>
          <w:lang w:val="en-US" w:eastAsia="zh-CN"/>
        </w:rPr>
      </w:pPr>
      <w:r>
        <w:rPr>
          <w:rFonts w:hint="eastAsia" w:ascii="黑体" w:eastAsia="黑体"/>
          <w:sz w:val="44"/>
          <w:szCs w:val="44"/>
          <w:lang w:val="en-US" w:eastAsia="zh-CN"/>
        </w:rPr>
        <w:t>阿坝州电影服务中心</w:t>
      </w:r>
    </w:p>
    <w:p w14:paraId="3AD68D9A">
      <w:pPr>
        <w:jc w:val="center"/>
        <w:rPr>
          <w:rFonts w:ascii="黑体" w:eastAsia="黑体"/>
          <w:sz w:val="44"/>
          <w:szCs w:val="44"/>
        </w:rPr>
      </w:pPr>
      <w:r>
        <w:rPr>
          <w:rFonts w:ascii="黑体" w:eastAsia="黑体"/>
          <w:sz w:val="44"/>
          <w:szCs w:val="44"/>
        </w:rPr>
        <w:t>2026</w:t>
      </w:r>
      <w:r>
        <w:rPr>
          <w:rFonts w:hint="eastAsia" w:ascii="黑体" w:eastAsia="黑体"/>
          <w:sz w:val="44"/>
          <w:szCs w:val="44"/>
        </w:rPr>
        <w:t>年部门预算</w:t>
      </w:r>
    </w:p>
    <w:p w14:paraId="4CF5AC66">
      <w:pPr>
        <w:ind w:firstLine="1760" w:firstLineChars="400"/>
        <w:rPr>
          <w:rFonts w:ascii="黑体" w:eastAsia="黑体"/>
          <w:sz w:val="44"/>
          <w:szCs w:val="44"/>
        </w:rPr>
      </w:pPr>
    </w:p>
    <w:p w14:paraId="60DC135E">
      <w:pPr>
        <w:ind w:firstLine="1760" w:firstLineChars="400"/>
        <w:rPr>
          <w:rFonts w:ascii="黑体" w:eastAsia="黑体"/>
          <w:sz w:val="44"/>
          <w:szCs w:val="44"/>
        </w:rPr>
      </w:pPr>
    </w:p>
    <w:p w14:paraId="1DFE3323">
      <w:pPr>
        <w:ind w:firstLine="1760" w:firstLineChars="400"/>
        <w:rPr>
          <w:rFonts w:ascii="黑体" w:eastAsia="黑体"/>
          <w:sz w:val="44"/>
          <w:szCs w:val="44"/>
        </w:rPr>
      </w:pPr>
    </w:p>
    <w:p w14:paraId="3AB3DAA2">
      <w:pPr>
        <w:ind w:firstLine="1760" w:firstLineChars="400"/>
        <w:rPr>
          <w:rFonts w:ascii="黑体" w:eastAsia="黑体"/>
          <w:sz w:val="44"/>
          <w:szCs w:val="44"/>
        </w:rPr>
      </w:pPr>
    </w:p>
    <w:p w14:paraId="3FE7333B">
      <w:pPr>
        <w:ind w:firstLine="1760" w:firstLineChars="400"/>
        <w:rPr>
          <w:rFonts w:ascii="黑体" w:eastAsia="黑体"/>
          <w:sz w:val="44"/>
          <w:szCs w:val="44"/>
        </w:rPr>
      </w:pPr>
    </w:p>
    <w:p w14:paraId="17986D31">
      <w:pPr>
        <w:ind w:firstLine="1760" w:firstLineChars="400"/>
        <w:rPr>
          <w:rFonts w:ascii="黑体" w:eastAsia="黑体"/>
          <w:sz w:val="44"/>
          <w:szCs w:val="44"/>
        </w:rPr>
      </w:pPr>
      <w:bookmarkStart w:id="0" w:name="_GoBack"/>
      <w:bookmarkEnd w:id="0"/>
    </w:p>
    <w:p w14:paraId="0939AD53">
      <w:pPr>
        <w:ind w:firstLine="1760" w:firstLineChars="400"/>
        <w:rPr>
          <w:rFonts w:ascii="黑体" w:eastAsia="黑体"/>
          <w:sz w:val="44"/>
          <w:szCs w:val="44"/>
        </w:rPr>
      </w:pPr>
    </w:p>
    <w:p w14:paraId="5A5341C2">
      <w:pPr>
        <w:ind w:firstLine="1760" w:firstLineChars="400"/>
        <w:rPr>
          <w:rFonts w:ascii="黑体" w:eastAsia="黑体"/>
          <w:sz w:val="44"/>
          <w:szCs w:val="44"/>
        </w:rPr>
      </w:pPr>
    </w:p>
    <w:p w14:paraId="4AB40453">
      <w:pPr>
        <w:ind w:firstLine="1760" w:firstLineChars="400"/>
        <w:rPr>
          <w:rFonts w:ascii="黑体" w:eastAsia="黑体"/>
          <w:sz w:val="44"/>
          <w:szCs w:val="44"/>
        </w:rPr>
      </w:pPr>
    </w:p>
    <w:p w14:paraId="5616ED3B">
      <w:pPr>
        <w:ind w:firstLine="1760" w:firstLineChars="400"/>
        <w:rPr>
          <w:rFonts w:ascii="黑体" w:eastAsia="黑体"/>
          <w:sz w:val="44"/>
          <w:szCs w:val="44"/>
        </w:rPr>
      </w:pPr>
    </w:p>
    <w:p w14:paraId="4B537FE4">
      <w:pPr>
        <w:ind w:firstLine="1760" w:firstLineChars="400"/>
        <w:rPr>
          <w:rFonts w:ascii="黑体" w:eastAsia="黑体"/>
          <w:sz w:val="44"/>
          <w:szCs w:val="44"/>
        </w:rPr>
      </w:pPr>
    </w:p>
    <w:p w14:paraId="4FB57ED4">
      <w:pPr>
        <w:ind w:firstLine="1760" w:firstLineChars="400"/>
        <w:rPr>
          <w:rFonts w:ascii="黑体" w:eastAsia="黑体"/>
          <w:sz w:val="44"/>
          <w:szCs w:val="44"/>
        </w:rPr>
      </w:pPr>
    </w:p>
    <w:p w14:paraId="673CA60F">
      <w:pPr>
        <w:ind w:firstLine="1760" w:firstLineChars="400"/>
        <w:rPr>
          <w:rFonts w:ascii="黑体" w:eastAsia="黑体"/>
          <w:sz w:val="44"/>
          <w:szCs w:val="44"/>
        </w:rPr>
      </w:pPr>
    </w:p>
    <w:p w14:paraId="16B6364A">
      <w:pPr>
        <w:ind w:firstLine="1760" w:firstLineChars="400"/>
        <w:rPr>
          <w:rFonts w:ascii="黑体" w:eastAsia="黑体"/>
          <w:sz w:val="44"/>
          <w:szCs w:val="44"/>
        </w:rPr>
      </w:pPr>
    </w:p>
    <w:p w14:paraId="104C1935">
      <w:pPr>
        <w:rPr>
          <w:rFonts w:ascii="黑体" w:eastAsia="黑体"/>
          <w:sz w:val="44"/>
          <w:szCs w:val="44"/>
        </w:rPr>
      </w:pPr>
    </w:p>
    <w:p w14:paraId="5D77FB27">
      <w:pPr>
        <w:ind w:firstLine="3120" w:firstLineChars="600"/>
        <w:rPr>
          <w:rFonts w:ascii="黑体" w:eastAsia="黑体"/>
          <w:sz w:val="52"/>
          <w:szCs w:val="52"/>
        </w:rPr>
      </w:pPr>
      <w:r>
        <w:rPr>
          <w:rFonts w:hint="eastAsia" w:ascii="黑体" w:eastAsia="黑体"/>
          <w:sz w:val="52"/>
          <w:szCs w:val="52"/>
        </w:rPr>
        <w:t>目录</w:t>
      </w:r>
    </w:p>
    <w:p w14:paraId="3733457C">
      <w:pPr>
        <w:ind w:firstLine="3080" w:firstLineChars="700"/>
        <w:rPr>
          <w:rFonts w:ascii="黑体" w:eastAsia="黑体"/>
          <w:sz w:val="44"/>
          <w:szCs w:val="44"/>
        </w:rPr>
      </w:pPr>
    </w:p>
    <w:p w14:paraId="118F9D49">
      <w:pPr>
        <w:pStyle w:val="9"/>
        <w:ind w:firstLine="0" w:firstLineChars="0"/>
        <w:rPr>
          <w:rFonts w:ascii="黑体" w:eastAsia="黑体"/>
          <w:sz w:val="32"/>
          <w:szCs w:val="32"/>
        </w:rPr>
      </w:pPr>
      <w:r>
        <w:rPr>
          <w:rFonts w:hint="eastAsia" w:ascii="黑体" w:eastAsia="黑体"/>
          <w:sz w:val="32"/>
          <w:szCs w:val="32"/>
        </w:rPr>
        <w:t>一、基本职能及主要工作</w:t>
      </w:r>
    </w:p>
    <w:p w14:paraId="71B3BB56">
      <w:pPr>
        <w:rPr>
          <w:rFonts w:ascii="楷体" w:eastAsia="楷体"/>
          <w:sz w:val="32"/>
          <w:szCs w:val="32"/>
        </w:rPr>
      </w:pPr>
      <w:r>
        <w:rPr>
          <w:rFonts w:hint="eastAsia" w:ascii="楷体" w:eastAsia="楷体"/>
          <w:sz w:val="32"/>
          <w:szCs w:val="32"/>
        </w:rPr>
        <w:t>（一）部门职能简介</w:t>
      </w:r>
    </w:p>
    <w:p w14:paraId="42DAE7CE">
      <w:pPr>
        <w:rPr>
          <w:rFonts w:ascii="楷体" w:eastAsia="楷体"/>
          <w:sz w:val="32"/>
          <w:szCs w:val="32"/>
        </w:rPr>
      </w:pPr>
      <w:r>
        <w:rPr>
          <w:rFonts w:hint="eastAsia" w:ascii="楷体" w:eastAsia="楷体"/>
          <w:sz w:val="32"/>
          <w:szCs w:val="32"/>
        </w:rPr>
        <w:t>（二）</w:t>
      </w:r>
      <w:r>
        <w:rPr>
          <w:rFonts w:ascii="楷体" w:eastAsia="楷体"/>
          <w:sz w:val="32"/>
          <w:szCs w:val="32"/>
        </w:rPr>
        <w:t>2026</w:t>
      </w:r>
      <w:r>
        <w:rPr>
          <w:rFonts w:hint="eastAsia" w:ascii="楷体" w:eastAsia="楷体"/>
          <w:sz w:val="32"/>
          <w:szCs w:val="32"/>
        </w:rPr>
        <w:t>年重点工作</w:t>
      </w:r>
    </w:p>
    <w:p w14:paraId="65736A3D">
      <w:pPr>
        <w:rPr>
          <w:rFonts w:ascii="黑体" w:eastAsia="黑体"/>
          <w:sz w:val="32"/>
          <w:szCs w:val="32"/>
        </w:rPr>
      </w:pPr>
      <w:r>
        <w:rPr>
          <w:rFonts w:hint="eastAsia" w:ascii="黑体" w:eastAsia="黑体"/>
          <w:sz w:val="32"/>
          <w:szCs w:val="32"/>
        </w:rPr>
        <w:t>二、部门预算单位构成</w:t>
      </w:r>
    </w:p>
    <w:p w14:paraId="5ED57E70">
      <w:pPr>
        <w:rPr>
          <w:rFonts w:ascii="黑体" w:eastAsia="黑体"/>
          <w:sz w:val="32"/>
          <w:szCs w:val="32"/>
        </w:rPr>
      </w:pPr>
      <w:r>
        <w:rPr>
          <w:rFonts w:hint="eastAsia" w:ascii="黑体" w:eastAsia="黑体"/>
          <w:sz w:val="32"/>
          <w:szCs w:val="32"/>
        </w:rPr>
        <w:t>三、收支预算情况说明</w:t>
      </w:r>
    </w:p>
    <w:p w14:paraId="089AD194">
      <w:pPr>
        <w:rPr>
          <w:rFonts w:ascii="楷体" w:eastAsia="楷体"/>
          <w:sz w:val="32"/>
          <w:szCs w:val="32"/>
        </w:rPr>
      </w:pPr>
      <w:r>
        <w:rPr>
          <w:rFonts w:hint="eastAsia" w:ascii="楷体" w:eastAsia="楷体"/>
          <w:sz w:val="32"/>
          <w:szCs w:val="32"/>
        </w:rPr>
        <w:t>（一）收入预算情况</w:t>
      </w:r>
    </w:p>
    <w:p w14:paraId="1D0D837D">
      <w:pPr>
        <w:rPr>
          <w:rFonts w:ascii="楷体" w:eastAsia="楷体"/>
          <w:sz w:val="32"/>
          <w:szCs w:val="32"/>
        </w:rPr>
      </w:pPr>
      <w:r>
        <w:rPr>
          <w:rFonts w:hint="eastAsia" w:ascii="楷体" w:eastAsia="楷体"/>
          <w:sz w:val="32"/>
          <w:szCs w:val="32"/>
        </w:rPr>
        <w:t>（二）支出预算情况</w:t>
      </w:r>
    </w:p>
    <w:p w14:paraId="29BB2005">
      <w:pPr>
        <w:rPr>
          <w:rFonts w:ascii="黑体" w:eastAsia="黑体"/>
          <w:sz w:val="32"/>
          <w:szCs w:val="32"/>
        </w:rPr>
      </w:pPr>
      <w:r>
        <w:rPr>
          <w:rFonts w:hint="eastAsia" w:ascii="黑体" w:eastAsia="黑体"/>
          <w:sz w:val="32"/>
          <w:szCs w:val="32"/>
        </w:rPr>
        <w:t>四、财政拨款收支预算情况说明</w:t>
      </w:r>
    </w:p>
    <w:p w14:paraId="469D965C">
      <w:pPr>
        <w:rPr>
          <w:rFonts w:ascii="黑体" w:eastAsia="黑体"/>
          <w:sz w:val="32"/>
          <w:szCs w:val="32"/>
        </w:rPr>
      </w:pPr>
      <w:r>
        <w:rPr>
          <w:rFonts w:hint="eastAsia" w:ascii="黑体" w:eastAsia="黑体"/>
          <w:sz w:val="32"/>
          <w:szCs w:val="32"/>
        </w:rPr>
        <w:t>五、一般公共预算当年拨款情况说明</w:t>
      </w:r>
    </w:p>
    <w:p w14:paraId="24B0D8DE">
      <w:pPr>
        <w:rPr>
          <w:rFonts w:ascii="黑体" w:eastAsia="黑体"/>
          <w:sz w:val="32"/>
          <w:szCs w:val="32"/>
        </w:rPr>
      </w:pPr>
      <w:r>
        <w:rPr>
          <w:rFonts w:hint="eastAsia" w:ascii="楷体" w:eastAsia="楷体"/>
          <w:sz w:val="32"/>
          <w:szCs w:val="32"/>
        </w:rPr>
        <w:t>（一）一般公共预算当年拨款规模变化情况</w:t>
      </w:r>
      <w:r>
        <w:rPr>
          <w:rFonts w:ascii="楷体" w:eastAsia="楷体"/>
          <w:sz w:val="32"/>
          <w:szCs w:val="32"/>
        </w:rPr>
        <w:br w:type="textWrapping"/>
      </w:r>
      <w:r>
        <w:rPr>
          <w:rFonts w:hint="eastAsia" w:ascii="楷体" w:eastAsia="楷体"/>
          <w:sz w:val="32"/>
          <w:szCs w:val="32"/>
        </w:rPr>
        <w:t>（二）一般公共预算当年拨款结构情况</w:t>
      </w:r>
      <w:r>
        <w:rPr>
          <w:rFonts w:ascii="楷体" w:eastAsia="楷体"/>
          <w:sz w:val="32"/>
          <w:szCs w:val="32"/>
        </w:rPr>
        <w:br w:type="textWrapping"/>
      </w:r>
      <w:r>
        <w:rPr>
          <w:rFonts w:hint="eastAsia" w:ascii="楷体" w:eastAsia="楷体"/>
          <w:sz w:val="32"/>
          <w:szCs w:val="32"/>
        </w:rPr>
        <w:t>（三）一般公共预算当年拨款具体使用情况</w:t>
      </w:r>
      <w:r>
        <w:rPr>
          <w:rFonts w:ascii="??" w:hAnsi="??" w:cs="宋体"/>
          <w:kern w:val="0"/>
          <w:sz w:val="16"/>
          <w:szCs w:val="16"/>
        </w:rPr>
        <w:br w:type="textWrapping"/>
      </w:r>
      <w:r>
        <w:rPr>
          <w:rFonts w:hint="eastAsia" w:ascii="黑体" w:eastAsia="黑体"/>
          <w:sz w:val="32"/>
          <w:szCs w:val="32"/>
        </w:rPr>
        <w:t>六、一般公共预算基本支出情况说明</w:t>
      </w:r>
      <w:r>
        <w:rPr>
          <w:rFonts w:ascii="黑体" w:eastAsia="黑体"/>
          <w:sz w:val="32"/>
          <w:szCs w:val="32"/>
        </w:rPr>
        <w:br w:type="textWrapping"/>
      </w:r>
      <w:r>
        <w:rPr>
          <w:rFonts w:hint="eastAsia" w:ascii="黑体" w:eastAsia="黑体"/>
          <w:sz w:val="32"/>
          <w:szCs w:val="32"/>
        </w:rPr>
        <w:t>七、“三公”经费财政拨款预算安排情况说明</w:t>
      </w:r>
      <w:r>
        <w:rPr>
          <w:rFonts w:ascii="黑体" w:eastAsia="黑体"/>
          <w:sz w:val="32"/>
          <w:szCs w:val="32"/>
        </w:rPr>
        <w:br w:type="textWrapping"/>
      </w:r>
      <w:r>
        <w:rPr>
          <w:rFonts w:hint="eastAsia" w:ascii="黑体" w:eastAsia="黑体"/>
          <w:sz w:val="32"/>
          <w:szCs w:val="32"/>
        </w:rPr>
        <w:t>八、政府性基金预算支出情况说明</w:t>
      </w:r>
      <w:r>
        <w:rPr>
          <w:rFonts w:ascii="黑体" w:eastAsia="黑体"/>
          <w:sz w:val="32"/>
          <w:szCs w:val="32"/>
        </w:rPr>
        <w:br w:type="textWrapping"/>
      </w:r>
      <w:r>
        <w:rPr>
          <w:rFonts w:hint="eastAsia" w:ascii="黑体" w:eastAsia="黑体"/>
          <w:sz w:val="32"/>
          <w:szCs w:val="32"/>
        </w:rPr>
        <w:t>九、其他重要事项的情况说明</w:t>
      </w:r>
      <w:r>
        <w:rPr>
          <w:rFonts w:ascii="黑体" w:eastAsia="黑体"/>
          <w:sz w:val="32"/>
          <w:szCs w:val="32"/>
        </w:rPr>
        <w:br w:type="textWrapping"/>
      </w:r>
      <w:r>
        <w:rPr>
          <w:rFonts w:hint="eastAsia" w:ascii="黑体" w:eastAsia="黑体"/>
          <w:sz w:val="32"/>
          <w:szCs w:val="32"/>
        </w:rPr>
        <w:t>十、名称解释</w:t>
      </w:r>
    </w:p>
    <w:p w14:paraId="6CC71C32">
      <w:pPr>
        <w:rPr>
          <w:rFonts w:ascii="黑体" w:eastAsia="黑体"/>
          <w:sz w:val="32"/>
          <w:szCs w:val="32"/>
        </w:rPr>
      </w:pPr>
    </w:p>
    <w:p w14:paraId="6254BEFF">
      <w:pPr>
        <w:widowControl/>
        <w:shd w:val="clear" w:color="auto" w:fill="FFFFFF"/>
        <w:spacing w:before="100" w:beforeAutospacing="1" w:after="100" w:afterAutospacing="1" w:line="290" w:lineRule="atLeast"/>
        <w:ind w:right="300"/>
        <w:jc w:val="left"/>
        <w:rPr>
          <w:rFonts w:ascii="??" w:hAnsi="??" w:cs="宋体"/>
          <w:kern w:val="0"/>
          <w:sz w:val="12"/>
          <w:szCs w:val="12"/>
        </w:rPr>
      </w:pPr>
    </w:p>
    <w:p w14:paraId="0C3E7549">
      <w:pPr>
        <w:pStyle w:val="9"/>
        <w:rPr>
          <w:rFonts w:ascii="黑体" w:eastAsia="黑体"/>
          <w:sz w:val="32"/>
          <w:szCs w:val="32"/>
        </w:rPr>
      </w:pPr>
      <w:r>
        <w:rPr>
          <w:rFonts w:hint="eastAsia" w:ascii="黑体" w:eastAsia="黑体"/>
          <w:sz w:val="32"/>
          <w:szCs w:val="32"/>
        </w:rPr>
        <w:t>一、基本职能及主要工作</w:t>
      </w:r>
    </w:p>
    <w:p w14:paraId="2487A518">
      <w:pPr>
        <w:ind w:firstLine="640" w:firstLineChars="200"/>
        <w:rPr>
          <w:rFonts w:ascii="楷体" w:eastAsia="楷体"/>
          <w:sz w:val="32"/>
          <w:szCs w:val="32"/>
        </w:rPr>
      </w:pPr>
      <w:r>
        <w:rPr>
          <w:rFonts w:hint="eastAsia" w:ascii="楷体" w:eastAsia="楷体"/>
          <w:sz w:val="32"/>
          <w:szCs w:val="32"/>
        </w:rPr>
        <w:t>（一）部门职能简介</w:t>
      </w:r>
    </w:p>
    <w:p w14:paraId="639D3BDD">
      <w:pPr>
        <w:ind w:firstLine="640" w:firstLineChars="200"/>
        <w:rPr>
          <w:rFonts w:hint="eastAsia" w:ascii="仿宋_GB2312" w:eastAsia="仿宋_GB2312"/>
          <w:sz w:val="32"/>
          <w:szCs w:val="32"/>
        </w:rPr>
      </w:pPr>
      <w:r>
        <w:rPr>
          <w:rFonts w:hint="eastAsia" w:ascii="仿宋_GB2312" w:eastAsia="仿宋_GB2312"/>
          <w:sz w:val="32"/>
          <w:szCs w:val="32"/>
        </w:rPr>
        <w:t>我单位现为中共阿坝州委宣传部直属的具有独立法人资格的差额拨款公益性二类正科级事业机构。其职责繁荣文化市场，丰富人民群众文化生活；负责全州农村公益电影放映工程的节目下载、影片发行、放映督查、设备巡检、技术指导、业务培训、数据统计上报等工作。协助主管部门指导城市影院建设、经营管理等业务工作；积极开展宣传党的路线、方针、政策放映工作，充分利用农村公益电影放映工作守牢涉藏地区宣传文化意识形态阵地；负责马尔康太平洋电影城经营管理；积极完成州委、州政府及主管部门交办的其他任务。</w:t>
      </w:r>
    </w:p>
    <w:p w14:paraId="33849879">
      <w:pPr>
        <w:ind w:firstLine="640" w:firstLineChars="200"/>
        <w:rPr>
          <w:rFonts w:hint="eastAsia" w:ascii="仿宋_GB2312" w:eastAsia="仿宋_GB2312"/>
          <w:sz w:val="32"/>
          <w:szCs w:val="32"/>
        </w:rPr>
      </w:pPr>
      <w:r>
        <w:rPr>
          <w:rFonts w:hint="eastAsia" w:ascii="仿宋_GB2312" w:eastAsia="仿宋_GB2312"/>
          <w:sz w:val="32"/>
          <w:szCs w:val="32"/>
        </w:rPr>
        <w:t>三、2026年重点工作安排  </w:t>
      </w:r>
    </w:p>
    <w:p w14:paraId="3B0BD5D4">
      <w:pPr>
        <w:ind w:firstLine="640" w:firstLineChars="200"/>
        <w:rPr>
          <w:rFonts w:hint="eastAsia" w:ascii="仿宋_GB2312" w:eastAsia="仿宋_GB2312"/>
          <w:sz w:val="32"/>
          <w:szCs w:val="32"/>
        </w:rPr>
      </w:pPr>
      <w:r>
        <w:rPr>
          <w:rFonts w:hint="eastAsia" w:ascii="仿宋_GB2312" w:eastAsia="仿宋_GB2312"/>
          <w:sz w:val="32"/>
          <w:szCs w:val="32"/>
        </w:rPr>
        <w:t>（一）抓实公益放映，强化数字监管。高质量完成省电影局下达的农村公益电影放映任务，全年计划下载影片300部次以上，实现全州1090个行政村全覆盖，完成公益电影放映13080场。充分运用数字监管平台，全面发挥平台在放映任务统筹、进度实时跟踪、质量动态把控等方面的关键作用，确保公益放映工作规范高效推进。</w:t>
      </w:r>
    </w:p>
    <w:p w14:paraId="6D68CF6B">
      <w:pPr>
        <w:ind w:firstLine="640" w:firstLineChars="200"/>
        <w:rPr>
          <w:rFonts w:hint="eastAsia" w:ascii="仿宋_GB2312" w:eastAsia="仿宋_GB2312"/>
          <w:sz w:val="32"/>
          <w:szCs w:val="32"/>
        </w:rPr>
      </w:pPr>
      <w:r>
        <w:rPr>
          <w:rFonts w:hint="eastAsia" w:ascii="仿宋_GB2312" w:eastAsia="仿宋_GB2312"/>
          <w:sz w:val="32"/>
          <w:szCs w:val="32"/>
        </w:rPr>
        <w:t>（二）争取资金支持，推进设备更新。积极对接浙阿对口援建项目，全面摸排评估全州放映设备老化程度和群众观影需求，按照 “轻重缓急、分批推进” 原则，优先对故障频发、观影集中的县（市）实施设备更新，持续提升公益放映硬件保障水平。</w:t>
      </w:r>
    </w:p>
    <w:p w14:paraId="38B66109">
      <w:pPr>
        <w:ind w:firstLine="640" w:firstLineChars="200"/>
        <w:rPr>
          <w:rFonts w:hint="eastAsia" w:ascii="仿宋_GB2312" w:eastAsia="仿宋_GB2312"/>
          <w:sz w:val="32"/>
          <w:szCs w:val="32"/>
        </w:rPr>
      </w:pPr>
      <w:r>
        <w:rPr>
          <w:rFonts w:hint="eastAsia" w:ascii="仿宋_GB2312" w:eastAsia="仿宋_GB2312"/>
          <w:sz w:val="32"/>
          <w:szCs w:val="32"/>
        </w:rPr>
        <w:t>（三）深化技术赋能，提升队伍素养。推进全州电影数字监管平台新技术推广应用，通过线上视频培训、线下实操演练相结合的方式，组织全体放映员系统学习新技术、新设备操作规范，不断提升放映队伍专业能力，切实提高公益电影放映质效。</w:t>
      </w:r>
    </w:p>
    <w:p w14:paraId="15F3B862">
      <w:pPr>
        <w:ind w:firstLine="640" w:firstLineChars="200"/>
        <w:rPr>
          <w:rFonts w:hint="eastAsia" w:ascii="仿宋_GB2312" w:eastAsia="仿宋_GB2312"/>
          <w:sz w:val="32"/>
          <w:szCs w:val="32"/>
        </w:rPr>
      </w:pPr>
      <w:r>
        <w:rPr>
          <w:rFonts w:hint="eastAsia" w:ascii="仿宋_GB2312" w:eastAsia="仿宋_GB2312"/>
          <w:sz w:val="32"/>
          <w:szCs w:val="32"/>
        </w:rPr>
        <w:t>（四）创新经营模式，增强影城活力。积极推进新时代电影文化发展策略，主动顺应电影消费环境变化，紧扣观众多元化需求，持续巩固电影院放映主阵地作用。力争全年实现票房收入120万元、商品收入20万元。</w:t>
      </w:r>
    </w:p>
    <w:p w14:paraId="745FCFA3">
      <w:pPr>
        <w:pStyle w:val="9"/>
        <w:numPr>
          <w:ilvl w:val="0"/>
          <w:numId w:val="1"/>
        </w:numPr>
        <w:ind w:firstLineChars="0"/>
        <w:rPr>
          <w:rFonts w:ascii="黑体" w:eastAsia="黑体"/>
          <w:sz w:val="32"/>
          <w:szCs w:val="32"/>
        </w:rPr>
      </w:pPr>
      <w:r>
        <w:rPr>
          <w:rFonts w:hint="eastAsia" w:ascii="黑体" w:eastAsia="黑体"/>
          <w:sz w:val="32"/>
          <w:szCs w:val="32"/>
        </w:rPr>
        <w:t>部门预算单位构成</w:t>
      </w:r>
    </w:p>
    <w:p w14:paraId="085666BF">
      <w:pPr>
        <w:pStyle w:val="9"/>
        <w:ind w:left="720" w:firstLine="0" w:firstLineChars="0"/>
        <w:rPr>
          <w:rFonts w:hint="eastAsia" w:ascii="仿宋_GB2312" w:eastAsia="仿宋_GB2312"/>
          <w:sz w:val="32"/>
          <w:szCs w:val="32"/>
        </w:rPr>
      </w:pPr>
      <w:r>
        <w:rPr>
          <w:rFonts w:hint="eastAsia" w:ascii="仿宋_GB2312" w:eastAsia="仿宋_GB2312"/>
          <w:sz w:val="32"/>
          <w:szCs w:val="32"/>
        </w:rPr>
        <w:t>阿坝藏族羌族自治州电影服务中心（原阿坝藏族羌族自治州电影发行放映公司）成立于1959年1月，1998年11月，经州政府第八次常务会确定为差额补贴事业单位，2014年1月，经全州事业单位分类改革确定为公益二类事业单位，将原“阿坝藏族羌族自治州电影发行放映公司”更名为“阿坝藏族羌族自治州电影服务中心”，2019年6月，经机构改革调整，划归州委宣传部管理。</w:t>
      </w:r>
    </w:p>
    <w:p w14:paraId="59E2A112">
      <w:pPr>
        <w:pStyle w:val="9"/>
        <w:ind w:left="720" w:firstLine="0" w:firstLineChars="0"/>
        <w:rPr>
          <w:rFonts w:hint="eastAsia" w:ascii="仿宋_GB2312" w:eastAsia="仿宋_GB2312"/>
          <w:sz w:val="32"/>
          <w:szCs w:val="32"/>
        </w:rPr>
      </w:pPr>
      <w:r>
        <w:rPr>
          <w:rFonts w:hint="eastAsia" w:ascii="仿宋_GB2312" w:eastAsia="仿宋_GB2312"/>
          <w:sz w:val="32"/>
          <w:szCs w:val="32"/>
        </w:rPr>
        <w:t xml:space="preserve">内设机构：2室、1中心、1院，即：办公室、财务室、农村数字电影中心、马尔康太平洋电影城。 </w:t>
      </w:r>
    </w:p>
    <w:p w14:paraId="1338376D">
      <w:pPr>
        <w:pStyle w:val="9"/>
        <w:ind w:left="720" w:firstLine="0" w:firstLineChars="0"/>
        <w:rPr>
          <w:rFonts w:ascii="黑体" w:eastAsia="黑体"/>
          <w:sz w:val="32"/>
          <w:szCs w:val="32"/>
        </w:rPr>
      </w:pPr>
      <w:r>
        <w:rPr>
          <w:rFonts w:hint="eastAsia" w:ascii="黑体" w:eastAsia="黑体"/>
          <w:sz w:val="32"/>
          <w:szCs w:val="32"/>
        </w:rPr>
        <w:t>三、收支预算情况说明</w:t>
      </w:r>
    </w:p>
    <w:p w14:paraId="5D59117B">
      <w:pPr>
        <w:ind w:firstLine="640" w:firstLineChars="200"/>
        <w:rPr>
          <w:rFonts w:hint="eastAsia" w:ascii="楷体" w:eastAsia="楷体"/>
          <w:sz w:val="32"/>
          <w:szCs w:val="32"/>
        </w:rPr>
      </w:pPr>
      <w:r>
        <w:rPr>
          <w:rFonts w:hint="eastAsia" w:ascii="楷体" w:eastAsia="楷体"/>
          <w:sz w:val="32"/>
          <w:szCs w:val="32"/>
        </w:rPr>
        <w:t>（一）收入预算情况</w:t>
      </w:r>
    </w:p>
    <w:p w14:paraId="54C0417A">
      <w:pPr>
        <w:ind w:firstLine="640" w:firstLineChars="200"/>
        <w:rPr>
          <w:rFonts w:hint="eastAsia" w:ascii="楷体" w:eastAsia="宋体"/>
          <w:sz w:val="32"/>
          <w:szCs w:val="32"/>
          <w:lang w:eastAsia="zh-CN"/>
        </w:rPr>
      </w:pPr>
      <w:r>
        <w:rPr>
          <w:rFonts w:hint="eastAsia" w:ascii="仿宋_GB2312" w:eastAsia="仿宋_GB2312"/>
          <w:sz w:val="32"/>
          <w:szCs w:val="32"/>
        </w:rPr>
        <w:t>阿坝州</w:t>
      </w:r>
      <w:r>
        <w:rPr>
          <w:rFonts w:hint="eastAsia" w:hAnsi="仿宋" w:cs="黑体"/>
          <w:spacing w:val="-2"/>
          <w:sz w:val="32"/>
        </w:rPr>
        <w:t>电影服中心202</w:t>
      </w:r>
      <w:r>
        <w:rPr>
          <w:rFonts w:hint="eastAsia" w:hAnsi="仿宋" w:cs="黑体"/>
          <w:spacing w:val="-2"/>
          <w:sz w:val="32"/>
          <w:lang w:val="en-US" w:eastAsia="zh-CN"/>
        </w:rPr>
        <w:t>6</w:t>
      </w:r>
      <w:r>
        <w:rPr>
          <w:rFonts w:hint="eastAsia" w:hAnsi="仿宋" w:cs="黑体"/>
          <w:spacing w:val="-2"/>
          <w:sz w:val="32"/>
        </w:rPr>
        <w:t>年收入预算492.74万元</w:t>
      </w:r>
      <w:r>
        <w:rPr>
          <w:rFonts w:hint="eastAsia" w:hAnsi="仿宋" w:cs="黑体"/>
          <w:spacing w:val="-2"/>
          <w:sz w:val="32"/>
          <w:lang w:eastAsia="zh-CN"/>
        </w:rPr>
        <w:t>。</w:t>
      </w:r>
    </w:p>
    <w:p w14:paraId="47E1B70C">
      <w:pPr>
        <w:numPr>
          <w:ilvl w:val="0"/>
          <w:numId w:val="2"/>
        </w:numPr>
        <w:ind w:left="640" w:leftChars="0" w:firstLine="0" w:firstLineChars="0"/>
        <w:jc w:val="left"/>
        <w:rPr>
          <w:rFonts w:hint="eastAsia" w:ascii="楷体" w:eastAsia="楷体" w:cs="仿宋_GB2312"/>
          <w:sz w:val="32"/>
          <w:szCs w:val="32"/>
        </w:rPr>
      </w:pPr>
      <w:r>
        <w:rPr>
          <w:rFonts w:hint="eastAsia" w:ascii="楷体" w:eastAsia="楷体" w:cs="仿宋_GB2312"/>
          <w:sz w:val="32"/>
          <w:szCs w:val="32"/>
        </w:rPr>
        <w:t>支出预算情况</w:t>
      </w:r>
    </w:p>
    <w:p w14:paraId="1D24725C">
      <w:pPr>
        <w:pStyle w:val="10"/>
        <w:spacing w:before="0" w:line="360" w:lineRule="auto"/>
        <w:ind w:firstLine="632" w:firstLineChars="200"/>
        <w:rPr>
          <w:rFonts w:ascii="楷体" w:eastAsia="楷体"/>
          <w:sz w:val="32"/>
          <w:szCs w:val="32"/>
        </w:rPr>
      </w:pPr>
      <w:r>
        <w:rPr>
          <w:rFonts w:hint="eastAsia" w:hAnsi="仿宋" w:cs="黑体"/>
          <w:spacing w:val="-2"/>
          <w:kern w:val="2"/>
          <w:sz w:val="32"/>
          <w:szCs w:val="22"/>
        </w:rPr>
        <w:t>州电影服务中心</w:t>
      </w:r>
      <w:r>
        <w:rPr>
          <w:rFonts w:hint="eastAsia" w:hAnsi="仿宋" w:cs="黑体"/>
          <w:spacing w:val="-2"/>
          <w:sz w:val="32"/>
        </w:rPr>
        <w:t>202</w:t>
      </w:r>
      <w:r>
        <w:rPr>
          <w:rFonts w:hint="eastAsia" w:hAnsi="仿宋" w:cs="黑体"/>
          <w:spacing w:val="-2"/>
          <w:sz w:val="32"/>
          <w:lang w:val="en-US" w:eastAsia="zh-CN"/>
        </w:rPr>
        <w:t>6</w:t>
      </w:r>
      <w:r>
        <w:rPr>
          <w:rFonts w:hint="eastAsia" w:hAnsi="仿宋" w:cs="黑体"/>
          <w:spacing w:val="-2"/>
          <w:kern w:val="2"/>
          <w:sz w:val="32"/>
          <w:szCs w:val="22"/>
        </w:rPr>
        <w:t>年支出预算</w:t>
      </w:r>
      <w:r>
        <w:rPr>
          <w:rFonts w:hint="eastAsia" w:hAnsi="仿宋" w:cs="黑体"/>
          <w:spacing w:val="-2"/>
          <w:kern w:val="2"/>
          <w:sz w:val="32"/>
          <w:szCs w:val="22"/>
          <w:lang w:val="en-US" w:eastAsia="zh-CN"/>
        </w:rPr>
        <w:t>492.74</w:t>
      </w:r>
      <w:r>
        <w:rPr>
          <w:rFonts w:hint="eastAsia" w:hAnsi="仿宋" w:cs="黑体"/>
          <w:spacing w:val="-2"/>
          <w:kern w:val="2"/>
          <w:sz w:val="32"/>
          <w:szCs w:val="22"/>
        </w:rPr>
        <w:t>万元，其中：</w:t>
      </w:r>
      <w:r>
        <w:rPr>
          <w:rFonts w:hint="eastAsia" w:hAnsi="仿宋" w:cs="黑体"/>
          <w:spacing w:val="-2"/>
          <w:kern w:val="2"/>
          <w:sz w:val="32"/>
          <w:szCs w:val="32"/>
        </w:rPr>
        <w:t>文化旅游体育与传媒支出</w:t>
      </w:r>
      <w:r>
        <w:rPr>
          <w:rFonts w:hint="eastAsia" w:cs="宋体"/>
          <w:sz w:val="32"/>
          <w:szCs w:val="32"/>
        </w:rPr>
        <w:t>38</w:t>
      </w:r>
      <w:r>
        <w:rPr>
          <w:rFonts w:hint="eastAsia" w:cs="宋体"/>
          <w:sz w:val="32"/>
          <w:szCs w:val="32"/>
          <w:lang w:val="en-US" w:eastAsia="zh-CN"/>
        </w:rPr>
        <w:t>7.83</w:t>
      </w:r>
      <w:r>
        <w:rPr>
          <w:rFonts w:hint="eastAsia" w:cs="宋体"/>
          <w:sz w:val="32"/>
          <w:szCs w:val="32"/>
        </w:rPr>
        <w:t>万元，占</w:t>
      </w:r>
      <w:r>
        <w:rPr>
          <w:rFonts w:hint="eastAsia" w:cs="宋体"/>
          <w:sz w:val="32"/>
          <w:szCs w:val="32"/>
          <w:lang w:val="en-US" w:eastAsia="zh-CN"/>
        </w:rPr>
        <w:t>78.71</w:t>
      </w:r>
      <w:r>
        <w:rPr>
          <w:rFonts w:hint="eastAsia" w:cs="宋体"/>
          <w:sz w:val="32"/>
          <w:szCs w:val="32"/>
        </w:rPr>
        <w:t>%；社会保障和就业支出</w:t>
      </w:r>
      <w:r>
        <w:rPr>
          <w:rFonts w:hint="eastAsia" w:cs="宋体"/>
          <w:sz w:val="32"/>
          <w:szCs w:val="32"/>
          <w:lang w:val="en-US" w:eastAsia="zh-CN"/>
        </w:rPr>
        <w:t>49.81</w:t>
      </w:r>
      <w:r>
        <w:rPr>
          <w:rFonts w:hint="eastAsia" w:cs="宋体"/>
          <w:sz w:val="32"/>
          <w:szCs w:val="32"/>
        </w:rPr>
        <w:t>万元，占</w:t>
      </w:r>
      <w:r>
        <w:rPr>
          <w:rFonts w:hint="eastAsia" w:cs="宋体"/>
          <w:sz w:val="32"/>
          <w:szCs w:val="32"/>
          <w:lang w:val="en-US" w:eastAsia="zh-CN"/>
        </w:rPr>
        <w:t>10.11</w:t>
      </w:r>
      <w:r>
        <w:rPr>
          <w:rFonts w:hint="eastAsia" w:cs="宋体"/>
          <w:sz w:val="32"/>
          <w:szCs w:val="32"/>
        </w:rPr>
        <w:t>%；医疗卫生与计划生育支出</w:t>
      </w:r>
      <w:r>
        <w:rPr>
          <w:rFonts w:hint="eastAsia" w:cs="宋体"/>
          <w:sz w:val="32"/>
          <w:szCs w:val="32"/>
          <w:lang w:val="en-US" w:eastAsia="zh-CN"/>
        </w:rPr>
        <w:t>25.06</w:t>
      </w:r>
      <w:r>
        <w:rPr>
          <w:rFonts w:hint="eastAsia" w:cs="宋体"/>
          <w:sz w:val="32"/>
          <w:szCs w:val="32"/>
        </w:rPr>
        <w:t>万元，占5</w:t>
      </w:r>
      <w:r>
        <w:rPr>
          <w:rFonts w:hint="eastAsia" w:cs="宋体"/>
          <w:sz w:val="32"/>
          <w:szCs w:val="32"/>
          <w:lang w:val="en-US" w:eastAsia="zh-CN"/>
        </w:rPr>
        <w:t>.08</w:t>
      </w:r>
      <w:r>
        <w:rPr>
          <w:rFonts w:hint="eastAsia" w:cs="宋体"/>
          <w:sz w:val="32"/>
          <w:szCs w:val="32"/>
        </w:rPr>
        <w:t>%；住房保障支出</w:t>
      </w:r>
      <w:r>
        <w:rPr>
          <w:rFonts w:hint="eastAsia" w:cs="宋体"/>
          <w:sz w:val="32"/>
          <w:szCs w:val="32"/>
          <w:lang w:val="en-US" w:eastAsia="zh-CN"/>
        </w:rPr>
        <w:t>30.04</w:t>
      </w:r>
      <w:r>
        <w:rPr>
          <w:rFonts w:hint="eastAsia" w:cs="宋体"/>
          <w:sz w:val="32"/>
          <w:szCs w:val="32"/>
        </w:rPr>
        <w:t>万元，占</w:t>
      </w:r>
      <w:r>
        <w:rPr>
          <w:rFonts w:hint="eastAsia" w:cs="宋体"/>
          <w:sz w:val="32"/>
          <w:szCs w:val="32"/>
          <w:lang w:val="en-US" w:eastAsia="zh-CN"/>
        </w:rPr>
        <w:t>6.1</w:t>
      </w:r>
      <w:r>
        <w:rPr>
          <w:rFonts w:hint="eastAsia" w:cs="宋体"/>
          <w:sz w:val="32"/>
          <w:szCs w:val="32"/>
        </w:rPr>
        <w:t>%。</w:t>
      </w:r>
    </w:p>
    <w:p w14:paraId="5E9B0A86">
      <w:pPr>
        <w:numPr>
          <w:ilvl w:val="0"/>
          <w:numId w:val="0"/>
        </w:numPr>
        <w:ind w:left="640" w:leftChars="0"/>
        <w:jc w:val="left"/>
        <w:rPr>
          <w:rFonts w:hint="eastAsia" w:ascii="楷体" w:eastAsia="楷体" w:cs="仿宋_GB2312"/>
          <w:sz w:val="32"/>
          <w:szCs w:val="32"/>
        </w:rPr>
      </w:pPr>
    </w:p>
    <w:p w14:paraId="66B8FA3C">
      <w:pPr>
        <w:pStyle w:val="10"/>
        <w:numPr>
          <w:ilvl w:val="0"/>
          <w:numId w:val="0"/>
        </w:numPr>
        <w:spacing w:before="0" w:line="360" w:lineRule="auto"/>
        <w:rPr>
          <w:rFonts w:hint="eastAsia" w:hAnsi="仿宋" w:cs="黑体"/>
          <w:spacing w:val="-2"/>
          <w:kern w:val="2"/>
          <w:sz w:val="32"/>
          <w:szCs w:val="32"/>
        </w:rPr>
      </w:pPr>
      <w:r>
        <w:rPr>
          <w:rFonts w:hint="eastAsia" w:ascii="黑体" w:eastAsia="黑体"/>
          <w:sz w:val="32"/>
          <w:szCs w:val="32"/>
        </w:rPr>
        <w:t>四、财政拨款收支预算情况说明</w:t>
      </w:r>
      <w:r>
        <w:rPr>
          <w:rFonts w:ascii="ˎ̥" w:hAnsi="ˎ̥" w:cs="宋体"/>
          <w:sz w:val="16"/>
        </w:rPr>
        <w:br w:type="textWrapping"/>
      </w:r>
      <w:r>
        <w:rPr>
          <w:rFonts w:hint="eastAsia" w:hAnsi="仿宋" w:cs="黑体"/>
          <w:spacing w:val="-2"/>
          <w:kern w:val="2"/>
          <w:sz w:val="32"/>
          <w:szCs w:val="32"/>
          <w:lang w:val="en-US" w:eastAsia="zh-CN"/>
        </w:rPr>
        <w:t xml:space="preserve"> 部</w:t>
      </w:r>
      <w:r>
        <w:rPr>
          <w:rFonts w:hint="eastAsia" w:hAnsi="仿宋" w:cs="黑体"/>
          <w:spacing w:val="-2"/>
          <w:kern w:val="2"/>
          <w:sz w:val="32"/>
          <w:szCs w:val="32"/>
        </w:rPr>
        <w:t>门（单位）202</w:t>
      </w:r>
      <w:r>
        <w:rPr>
          <w:rFonts w:hint="eastAsia" w:hAnsi="仿宋" w:cs="黑体"/>
          <w:spacing w:val="-2"/>
          <w:kern w:val="2"/>
          <w:sz w:val="32"/>
          <w:szCs w:val="32"/>
          <w:lang w:val="en-US" w:eastAsia="zh-CN"/>
        </w:rPr>
        <w:t>6</w:t>
      </w:r>
      <w:r>
        <w:rPr>
          <w:rFonts w:hint="eastAsia" w:hAnsi="仿宋" w:cs="黑体"/>
          <w:spacing w:val="-2"/>
          <w:kern w:val="2"/>
          <w:sz w:val="32"/>
          <w:szCs w:val="32"/>
        </w:rPr>
        <w:t>年财政拨款收支总预算4</w:t>
      </w:r>
      <w:r>
        <w:rPr>
          <w:rFonts w:hint="eastAsia" w:hAnsi="仿宋" w:cs="黑体"/>
          <w:spacing w:val="-2"/>
          <w:kern w:val="2"/>
          <w:sz w:val="32"/>
          <w:szCs w:val="32"/>
          <w:lang w:val="en-US" w:eastAsia="zh-CN"/>
        </w:rPr>
        <w:t>92.74</w:t>
      </w:r>
      <w:r>
        <w:rPr>
          <w:rFonts w:hint="eastAsia" w:hAnsi="仿宋" w:cs="黑体"/>
          <w:spacing w:val="-2"/>
          <w:kern w:val="2"/>
          <w:sz w:val="32"/>
          <w:szCs w:val="32"/>
        </w:rPr>
        <w:t>万元,比202</w:t>
      </w:r>
      <w:r>
        <w:rPr>
          <w:rFonts w:hint="eastAsia" w:hAnsi="仿宋" w:cs="黑体"/>
          <w:spacing w:val="-2"/>
          <w:kern w:val="2"/>
          <w:sz w:val="32"/>
          <w:szCs w:val="32"/>
          <w:lang w:val="en-US" w:eastAsia="zh-CN"/>
        </w:rPr>
        <w:t>5</w:t>
      </w:r>
      <w:r>
        <w:rPr>
          <w:rFonts w:hint="eastAsia" w:hAnsi="仿宋" w:cs="黑体"/>
          <w:spacing w:val="-2"/>
          <w:kern w:val="2"/>
          <w:sz w:val="32"/>
          <w:szCs w:val="32"/>
        </w:rPr>
        <w:t>年财政拨款收支总预算</w:t>
      </w:r>
      <w:r>
        <w:rPr>
          <w:rFonts w:hint="eastAsia" w:hAnsi="仿宋" w:cs="黑体"/>
          <w:spacing w:val="-2"/>
          <w:kern w:val="2"/>
          <w:sz w:val="32"/>
          <w:szCs w:val="32"/>
          <w:lang w:val="en-US" w:eastAsia="zh-CN"/>
        </w:rPr>
        <w:t>增加15.19</w:t>
      </w:r>
      <w:r>
        <w:rPr>
          <w:rFonts w:hint="eastAsia" w:hAnsi="仿宋" w:cs="黑体"/>
          <w:spacing w:val="-2"/>
          <w:kern w:val="2"/>
          <w:sz w:val="32"/>
          <w:szCs w:val="32"/>
        </w:rPr>
        <w:t>万元，主要原因:人员经费</w:t>
      </w:r>
      <w:r>
        <w:rPr>
          <w:rFonts w:hint="eastAsia" w:hAnsi="仿宋" w:cs="黑体"/>
          <w:spacing w:val="-2"/>
          <w:kern w:val="2"/>
          <w:sz w:val="32"/>
          <w:szCs w:val="32"/>
          <w:lang w:val="en-US" w:eastAsia="zh-CN"/>
        </w:rPr>
        <w:t>工资，社保五险增加</w:t>
      </w:r>
      <w:r>
        <w:rPr>
          <w:rFonts w:hint="eastAsia" w:hAnsi="仿宋" w:cs="黑体"/>
          <w:spacing w:val="-2"/>
          <w:kern w:val="2"/>
          <w:sz w:val="32"/>
          <w:szCs w:val="32"/>
        </w:rPr>
        <w:t>。</w:t>
      </w:r>
    </w:p>
    <w:p w14:paraId="091C41C4">
      <w:pPr>
        <w:pStyle w:val="10"/>
        <w:spacing w:before="0" w:line="360" w:lineRule="auto"/>
        <w:ind w:firstLine="632" w:firstLineChars="200"/>
        <w:rPr>
          <w:rFonts w:hint="eastAsia" w:hAnsi="仿宋" w:cs="黑体"/>
          <w:spacing w:val="-2"/>
          <w:kern w:val="2"/>
          <w:sz w:val="32"/>
          <w:szCs w:val="32"/>
        </w:rPr>
      </w:pPr>
      <w:r>
        <w:rPr>
          <w:rFonts w:hint="eastAsia" w:hAnsi="仿宋" w:cs="黑体"/>
          <w:spacing w:val="-2"/>
          <w:kern w:val="2"/>
          <w:sz w:val="32"/>
          <w:szCs w:val="32"/>
        </w:rPr>
        <w:t>收入包括：本年一般公共预算拨款收入4</w:t>
      </w:r>
      <w:r>
        <w:rPr>
          <w:rFonts w:hint="eastAsia" w:hAnsi="仿宋" w:cs="黑体"/>
          <w:spacing w:val="-2"/>
          <w:kern w:val="2"/>
          <w:sz w:val="32"/>
          <w:szCs w:val="32"/>
          <w:lang w:val="en-US" w:eastAsia="zh-CN"/>
        </w:rPr>
        <w:t>92.74</w:t>
      </w:r>
      <w:r>
        <w:rPr>
          <w:rFonts w:hint="eastAsia" w:hAnsi="仿宋" w:cs="黑体"/>
          <w:spacing w:val="-2"/>
          <w:kern w:val="2"/>
          <w:sz w:val="32"/>
          <w:szCs w:val="32"/>
        </w:rPr>
        <w:t>万元。</w:t>
      </w:r>
    </w:p>
    <w:p w14:paraId="26552F4F">
      <w:pPr>
        <w:pStyle w:val="10"/>
        <w:spacing w:before="0" w:line="360" w:lineRule="auto"/>
        <w:ind w:firstLine="632" w:firstLineChars="200"/>
        <w:rPr>
          <w:rFonts w:hint="eastAsia" w:hAnsi="仿宋" w:cs="黑体"/>
          <w:spacing w:val="-2"/>
          <w:kern w:val="2"/>
          <w:sz w:val="32"/>
          <w:szCs w:val="32"/>
        </w:rPr>
      </w:pPr>
      <w:r>
        <w:rPr>
          <w:rFonts w:hint="eastAsia" w:hAnsi="仿宋" w:cs="黑体"/>
          <w:spacing w:val="-2"/>
          <w:kern w:val="2"/>
          <w:sz w:val="32"/>
          <w:szCs w:val="32"/>
        </w:rPr>
        <w:t>支出包括：文化旅游体育与传媒支出38</w:t>
      </w:r>
      <w:r>
        <w:rPr>
          <w:rFonts w:hint="eastAsia" w:hAnsi="仿宋" w:cs="黑体"/>
          <w:spacing w:val="-2"/>
          <w:kern w:val="2"/>
          <w:sz w:val="32"/>
          <w:szCs w:val="32"/>
          <w:lang w:val="en-US" w:eastAsia="zh-CN"/>
        </w:rPr>
        <w:t>7.83</w:t>
      </w:r>
      <w:r>
        <w:rPr>
          <w:rFonts w:hint="eastAsia" w:hAnsi="仿宋" w:cs="黑体"/>
          <w:spacing w:val="-2"/>
          <w:kern w:val="2"/>
          <w:sz w:val="32"/>
          <w:szCs w:val="32"/>
        </w:rPr>
        <w:t>万元，社会保障和就业支出4</w:t>
      </w:r>
      <w:r>
        <w:rPr>
          <w:rFonts w:hint="eastAsia" w:hAnsi="仿宋" w:cs="黑体"/>
          <w:spacing w:val="-2"/>
          <w:kern w:val="2"/>
          <w:sz w:val="32"/>
          <w:szCs w:val="32"/>
          <w:lang w:val="en-US" w:eastAsia="zh-CN"/>
        </w:rPr>
        <w:t>9.81</w:t>
      </w:r>
      <w:r>
        <w:rPr>
          <w:rFonts w:hint="eastAsia" w:hAnsi="仿宋" w:cs="黑体"/>
          <w:spacing w:val="-2"/>
          <w:kern w:val="2"/>
          <w:sz w:val="32"/>
          <w:szCs w:val="32"/>
        </w:rPr>
        <w:t>万元，医疗卫生与计划生育支出2</w:t>
      </w:r>
      <w:r>
        <w:rPr>
          <w:rFonts w:hint="eastAsia" w:hAnsi="仿宋" w:cs="黑体"/>
          <w:spacing w:val="-2"/>
          <w:kern w:val="2"/>
          <w:sz w:val="32"/>
          <w:szCs w:val="32"/>
          <w:lang w:val="en-US" w:eastAsia="zh-CN"/>
        </w:rPr>
        <w:t>5.06</w:t>
      </w:r>
      <w:r>
        <w:rPr>
          <w:rFonts w:hint="eastAsia" w:hAnsi="仿宋" w:cs="黑体"/>
          <w:spacing w:val="-2"/>
          <w:kern w:val="2"/>
          <w:sz w:val="32"/>
          <w:szCs w:val="32"/>
        </w:rPr>
        <w:t>万元，住房保障支出</w:t>
      </w:r>
      <w:r>
        <w:rPr>
          <w:rFonts w:hint="eastAsia" w:hAnsi="仿宋" w:cs="黑体"/>
          <w:spacing w:val="-2"/>
          <w:kern w:val="2"/>
          <w:sz w:val="32"/>
          <w:szCs w:val="32"/>
          <w:lang w:val="en-US" w:eastAsia="zh-CN"/>
        </w:rPr>
        <w:t>30.04</w:t>
      </w:r>
      <w:r>
        <w:rPr>
          <w:rFonts w:hint="eastAsia" w:hAnsi="仿宋" w:cs="黑体"/>
          <w:spacing w:val="-2"/>
          <w:kern w:val="2"/>
          <w:sz w:val="32"/>
          <w:szCs w:val="32"/>
        </w:rPr>
        <w:t xml:space="preserve">万元。 </w:t>
      </w:r>
    </w:p>
    <w:p w14:paraId="5E18B214">
      <w:pPr>
        <w:spacing w:line="540" w:lineRule="exact"/>
        <w:ind w:firstLine="640" w:firstLineChars="200"/>
        <w:rPr>
          <w:rFonts w:ascii="仿宋_GB2312" w:eastAsia="仿宋_GB2312"/>
          <w:sz w:val="32"/>
          <w:szCs w:val="32"/>
        </w:rPr>
      </w:pPr>
    </w:p>
    <w:p w14:paraId="11A52117">
      <w:pPr>
        <w:ind w:firstLine="640" w:firstLineChars="200"/>
        <w:rPr>
          <w:rFonts w:ascii="黑体" w:eastAsia="黑体"/>
          <w:sz w:val="32"/>
          <w:szCs w:val="32"/>
        </w:rPr>
      </w:pPr>
      <w:r>
        <w:rPr>
          <w:rFonts w:hint="eastAsia" w:ascii="黑体" w:eastAsia="黑体"/>
          <w:sz w:val="32"/>
          <w:szCs w:val="32"/>
        </w:rPr>
        <w:t>五、一般公共预算当年拨款情况说明</w:t>
      </w:r>
    </w:p>
    <w:p w14:paraId="57C68518">
      <w:pPr>
        <w:pStyle w:val="10"/>
        <w:spacing w:before="0" w:line="360" w:lineRule="auto"/>
        <w:ind w:firstLine="660"/>
        <w:rPr>
          <w:rFonts w:ascii="楷体" w:eastAsia="楷体" w:cs="仿宋_GB2312"/>
          <w:kern w:val="2"/>
          <w:sz w:val="32"/>
          <w:szCs w:val="32"/>
        </w:rPr>
      </w:pPr>
      <w:r>
        <w:rPr>
          <w:rFonts w:hint="eastAsia" w:ascii="楷体" w:eastAsia="楷体" w:cs="仿宋_GB2312"/>
          <w:kern w:val="2"/>
          <w:sz w:val="32"/>
          <w:szCs w:val="32"/>
        </w:rPr>
        <w:t>（一）一般公共预算当年拨款规模变化情况</w:t>
      </w:r>
    </w:p>
    <w:p w14:paraId="2C71F4EE">
      <w:pPr>
        <w:pStyle w:val="10"/>
        <w:numPr>
          <w:ilvl w:val="0"/>
          <w:numId w:val="0"/>
        </w:numPr>
        <w:spacing w:before="0" w:line="360" w:lineRule="auto"/>
        <w:rPr>
          <w:rFonts w:hint="eastAsia" w:hAnsi="仿宋" w:cs="黑体"/>
          <w:spacing w:val="-2"/>
          <w:kern w:val="2"/>
          <w:sz w:val="32"/>
          <w:szCs w:val="32"/>
        </w:rPr>
      </w:pPr>
      <w:r>
        <w:rPr>
          <w:rFonts w:hint="eastAsia" w:hAnsi="仿宋" w:cs="黑体"/>
          <w:spacing w:val="-2"/>
          <w:kern w:val="2"/>
          <w:sz w:val="32"/>
          <w:szCs w:val="32"/>
          <w:lang w:val="en-US" w:eastAsia="zh-CN"/>
        </w:rPr>
        <w:t xml:space="preserve"> 部</w:t>
      </w:r>
      <w:r>
        <w:rPr>
          <w:rFonts w:hint="eastAsia" w:hAnsi="仿宋" w:cs="黑体"/>
          <w:spacing w:val="-2"/>
          <w:kern w:val="2"/>
          <w:sz w:val="32"/>
          <w:szCs w:val="32"/>
        </w:rPr>
        <w:t>门（单位）202</w:t>
      </w:r>
      <w:r>
        <w:rPr>
          <w:rFonts w:hint="eastAsia" w:hAnsi="仿宋" w:cs="黑体"/>
          <w:spacing w:val="-2"/>
          <w:kern w:val="2"/>
          <w:sz w:val="32"/>
          <w:szCs w:val="32"/>
          <w:lang w:val="en-US" w:eastAsia="zh-CN"/>
        </w:rPr>
        <w:t>6</w:t>
      </w:r>
      <w:r>
        <w:rPr>
          <w:rFonts w:hint="eastAsia" w:hAnsi="仿宋" w:cs="黑体"/>
          <w:spacing w:val="-2"/>
          <w:kern w:val="2"/>
          <w:sz w:val="32"/>
          <w:szCs w:val="32"/>
        </w:rPr>
        <w:t>年财政拨款收支总预算4</w:t>
      </w:r>
      <w:r>
        <w:rPr>
          <w:rFonts w:hint="eastAsia" w:hAnsi="仿宋" w:cs="黑体"/>
          <w:spacing w:val="-2"/>
          <w:kern w:val="2"/>
          <w:sz w:val="32"/>
          <w:szCs w:val="32"/>
          <w:lang w:val="en-US" w:eastAsia="zh-CN"/>
        </w:rPr>
        <w:t>92.74</w:t>
      </w:r>
      <w:r>
        <w:rPr>
          <w:rFonts w:hint="eastAsia" w:hAnsi="仿宋" w:cs="黑体"/>
          <w:spacing w:val="-2"/>
          <w:kern w:val="2"/>
          <w:sz w:val="32"/>
          <w:szCs w:val="32"/>
        </w:rPr>
        <w:t>万元,比202</w:t>
      </w:r>
      <w:r>
        <w:rPr>
          <w:rFonts w:hint="eastAsia" w:hAnsi="仿宋" w:cs="黑体"/>
          <w:spacing w:val="-2"/>
          <w:kern w:val="2"/>
          <w:sz w:val="32"/>
          <w:szCs w:val="32"/>
          <w:lang w:val="en-US" w:eastAsia="zh-CN"/>
        </w:rPr>
        <w:t>5</w:t>
      </w:r>
      <w:r>
        <w:rPr>
          <w:rFonts w:hint="eastAsia" w:hAnsi="仿宋" w:cs="黑体"/>
          <w:spacing w:val="-2"/>
          <w:kern w:val="2"/>
          <w:sz w:val="32"/>
          <w:szCs w:val="32"/>
        </w:rPr>
        <w:t>年财政拨款收支总预算</w:t>
      </w:r>
      <w:r>
        <w:rPr>
          <w:rFonts w:hint="eastAsia" w:hAnsi="仿宋" w:cs="黑体"/>
          <w:spacing w:val="-2"/>
          <w:kern w:val="2"/>
          <w:sz w:val="32"/>
          <w:szCs w:val="32"/>
          <w:lang w:val="en-US" w:eastAsia="zh-CN"/>
        </w:rPr>
        <w:t>增加15.19</w:t>
      </w:r>
      <w:r>
        <w:rPr>
          <w:rFonts w:hint="eastAsia" w:hAnsi="仿宋" w:cs="黑体"/>
          <w:spacing w:val="-2"/>
          <w:kern w:val="2"/>
          <w:sz w:val="32"/>
          <w:szCs w:val="32"/>
        </w:rPr>
        <w:t>万元，主要原因:人员经费</w:t>
      </w:r>
      <w:r>
        <w:rPr>
          <w:rFonts w:hint="eastAsia" w:hAnsi="仿宋" w:cs="黑体"/>
          <w:spacing w:val="-2"/>
          <w:kern w:val="2"/>
          <w:sz w:val="32"/>
          <w:szCs w:val="32"/>
          <w:lang w:val="en-US" w:eastAsia="zh-CN"/>
        </w:rPr>
        <w:t>工资，社保五险增加</w:t>
      </w:r>
      <w:r>
        <w:rPr>
          <w:rFonts w:hint="eastAsia" w:hAnsi="仿宋" w:cs="黑体"/>
          <w:spacing w:val="-2"/>
          <w:kern w:val="2"/>
          <w:sz w:val="32"/>
          <w:szCs w:val="32"/>
        </w:rPr>
        <w:t>。</w:t>
      </w:r>
    </w:p>
    <w:p w14:paraId="0884D398">
      <w:pPr>
        <w:pStyle w:val="10"/>
        <w:spacing w:before="0" w:line="360" w:lineRule="auto"/>
        <w:ind w:firstLine="640" w:firstLineChars="200"/>
        <w:rPr>
          <w:rFonts w:ascii="楷体" w:eastAsia="楷体"/>
          <w:sz w:val="32"/>
          <w:szCs w:val="32"/>
        </w:rPr>
      </w:pPr>
      <w:r>
        <w:rPr>
          <w:rFonts w:hint="eastAsia" w:ascii="楷体" w:eastAsia="楷体" w:cs="宋体"/>
          <w:sz w:val="32"/>
          <w:szCs w:val="32"/>
        </w:rPr>
        <w:t>（二）一般公共预算当年拨款结构情况</w:t>
      </w:r>
      <w:r>
        <w:rPr>
          <w:rFonts w:hint="eastAsia" w:cs="宋体"/>
          <w:sz w:val="32"/>
          <w:szCs w:val="32"/>
        </w:rPr>
        <w:br w:type="textWrapping"/>
      </w:r>
      <w:r>
        <w:rPr>
          <w:rFonts w:hint="eastAsia" w:ascii="Calibri" w:hAnsi="Calibri" w:eastAsia="宋体" w:cs="宋体"/>
          <w:kern w:val="2"/>
          <w:sz w:val="32"/>
          <w:szCs w:val="32"/>
          <w:lang w:val="en-US" w:eastAsia="zh-CN" w:bidi="ar-SA"/>
        </w:rPr>
        <w:t>一般公共服务支出4</w:t>
      </w:r>
      <w:r>
        <w:rPr>
          <w:rFonts w:hint="eastAsia" w:ascii="Calibri" w:eastAsia="宋体" w:cs="宋体"/>
          <w:kern w:val="2"/>
          <w:sz w:val="32"/>
          <w:szCs w:val="32"/>
          <w:lang w:val="en-US" w:eastAsia="zh-CN" w:bidi="ar-SA"/>
        </w:rPr>
        <w:t>92.74</w:t>
      </w:r>
      <w:r>
        <w:rPr>
          <w:rFonts w:hint="eastAsia" w:ascii="Calibri" w:hAnsi="Calibri" w:eastAsia="宋体" w:cs="宋体"/>
          <w:kern w:val="2"/>
          <w:sz w:val="32"/>
          <w:szCs w:val="32"/>
          <w:lang w:val="en-US" w:eastAsia="zh-CN" w:bidi="ar-SA"/>
        </w:rPr>
        <w:t>万元，占100%；</w:t>
      </w:r>
      <w:r>
        <w:rPr>
          <w:rFonts w:hint="eastAsia" w:hAnsi="仿宋" w:cs="黑体"/>
          <w:spacing w:val="-2"/>
          <w:kern w:val="2"/>
          <w:sz w:val="32"/>
          <w:szCs w:val="32"/>
        </w:rPr>
        <w:t>文化旅游体育与传媒支出</w:t>
      </w:r>
      <w:r>
        <w:rPr>
          <w:rFonts w:hint="eastAsia" w:cs="宋体"/>
          <w:sz w:val="32"/>
          <w:szCs w:val="32"/>
        </w:rPr>
        <w:t>38</w:t>
      </w:r>
      <w:r>
        <w:rPr>
          <w:rFonts w:hint="eastAsia" w:cs="宋体"/>
          <w:sz w:val="32"/>
          <w:szCs w:val="32"/>
          <w:lang w:val="en-US" w:eastAsia="zh-CN"/>
        </w:rPr>
        <w:t>7.83</w:t>
      </w:r>
      <w:r>
        <w:rPr>
          <w:rFonts w:hint="eastAsia" w:cs="宋体"/>
          <w:sz w:val="32"/>
          <w:szCs w:val="32"/>
        </w:rPr>
        <w:t>万元，占</w:t>
      </w:r>
      <w:r>
        <w:rPr>
          <w:rFonts w:hint="eastAsia" w:cs="宋体"/>
          <w:sz w:val="32"/>
          <w:szCs w:val="32"/>
          <w:lang w:val="en-US" w:eastAsia="zh-CN"/>
        </w:rPr>
        <w:t>78.71</w:t>
      </w:r>
      <w:r>
        <w:rPr>
          <w:rFonts w:hint="eastAsia" w:cs="宋体"/>
          <w:sz w:val="32"/>
          <w:szCs w:val="32"/>
        </w:rPr>
        <w:t>%；社会保障和就业支出</w:t>
      </w:r>
      <w:r>
        <w:rPr>
          <w:rFonts w:hint="eastAsia" w:cs="宋体"/>
          <w:sz w:val="32"/>
          <w:szCs w:val="32"/>
          <w:lang w:val="en-US" w:eastAsia="zh-CN"/>
        </w:rPr>
        <w:t>49.81</w:t>
      </w:r>
      <w:r>
        <w:rPr>
          <w:rFonts w:hint="eastAsia" w:cs="宋体"/>
          <w:sz w:val="32"/>
          <w:szCs w:val="32"/>
        </w:rPr>
        <w:t>万元，占</w:t>
      </w:r>
      <w:r>
        <w:rPr>
          <w:rFonts w:hint="eastAsia" w:cs="宋体"/>
          <w:sz w:val="32"/>
          <w:szCs w:val="32"/>
          <w:lang w:val="en-US" w:eastAsia="zh-CN"/>
        </w:rPr>
        <w:t>10.11</w:t>
      </w:r>
      <w:r>
        <w:rPr>
          <w:rFonts w:hint="eastAsia" w:cs="宋体"/>
          <w:sz w:val="32"/>
          <w:szCs w:val="32"/>
        </w:rPr>
        <w:t>%；医疗卫生与计划生育支出</w:t>
      </w:r>
      <w:r>
        <w:rPr>
          <w:rFonts w:hint="eastAsia" w:cs="宋体"/>
          <w:sz w:val="32"/>
          <w:szCs w:val="32"/>
          <w:lang w:val="en-US" w:eastAsia="zh-CN"/>
        </w:rPr>
        <w:t>25.06</w:t>
      </w:r>
      <w:r>
        <w:rPr>
          <w:rFonts w:hint="eastAsia" w:cs="宋体"/>
          <w:sz w:val="32"/>
          <w:szCs w:val="32"/>
        </w:rPr>
        <w:t>万元，占5</w:t>
      </w:r>
      <w:r>
        <w:rPr>
          <w:rFonts w:hint="eastAsia" w:cs="宋体"/>
          <w:sz w:val="32"/>
          <w:szCs w:val="32"/>
          <w:lang w:val="en-US" w:eastAsia="zh-CN"/>
        </w:rPr>
        <w:t>.08</w:t>
      </w:r>
      <w:r>
        <w:rPr>
          <w:rFonts w:hint="eastAsia" w:cs="宋体"/>
          <w:sz w:val="32"/>
          <w:szCs w:val="32"/>
        </w:rPr>
        <w:t>%；住房保障支出</w:t>
      </w:r>
      <w:r>
        <w:rPr>
          <w:rFonts w:hint="eastAsia" w:cs="宋体"/>
          <w:sz w:val="32"/>
          <w:szCs w:val="32"/>
          <w:lang w:val="en-US" w:eastAsia="zh-CN"/>
        </w:rPr>
        <w:t>30.04</w:t>
      </w:r>
      <w:r>
        <w:rPr>
          <w:rFonts w:hint="eastAsia" w:cs="宋体"/>
          <w:sz w:val="32"/>
          <w:szCs w:val="32"/>
        </w:rPr>
        <w:t>万元，占</w:t>
      </w:r>
      <w:r>
        <w:rPr>
          <w:rFonts w:hint="eastAsia" w:cs="宋体"/>
          <w:sz w:val="32"/>
          <w:szCs w:val="32"/>
          <w:lang w:val="en-US" w:eastAsia="zh-CN"/>
        </w:rPr>
        <w:t>6.1</w:t>
      </w:r>
      <w:r>
        <w:rPr>
          <w:rFonts w:hint="eastAsia" w:cs="宋体"/>
          <w:sz w:val="32"/>
          <w:szCs w:val="32"/>
        </w:rPr>
        <w:t>%。</w:t>
      </w:r>
    </w:p>
    <w:p w14:paraId="68924641">
      <w:pPr>
        <w:pStyle w:val="10"/>
        <w:spacing w:before="0" w:line="360" w:lineRule="auto"/>
        <w:rPr>
          <w:rFonts w:ascii="楷体" w:eastAsia="楷体" w:cs="仿宋_GB2312"/>
          <w:kern w:val="2"/>
          <w:sz w:val="32"/>
          <w:szCs w:val="32"/>
        </w:rPr>
      </w:pPr>
      <w:r>
        <w:rPr>
          <w:rFonts w:hint="eastAsia" w:ascii="楷体" w:eastAsia="楷体" w:cs="仿宋_GB2312"/>
          <w:kern w:val="2"/>
          <w:sz w:val="32"/>
          <w:szCs w:val="32"/>
        </w:rPr>
        <w:t>（三）一般公共预算当年拨款具体使用情况</w:t>
      </w:r>
    </w:p>
    <w:p w14:paraId="6E27F807">
      <w:pPr>
        <w:pStyle w:val="10"/>
        <w:spacing w:before="0" w:line="576" w:lineRule="exact"/>
        <w:ind w:firstLine="640" w:firstLineChars="200"/>
        <w:contextualSpacing/>
        <w:rPr>
          <w:rFonts w:hAnsi="仿宋" w:cs="黑体"/>
          <w:spacing w:val="-2"/>
          <w:kern w:val="2"/>
          <w:sz w:val="32"/>
          <w:szCs w:val="22"/>
        </w:rPr>
      </w:pPr>
      <w:r>
        <w:rPr>
          <w:rFonts w:hint="eastAsia" w:hAnsi="仿宋" w:cs="宋体"/>
          <w:sz w:val="32"/>
          <w:szCs w:val="32"/>
        </w:rPr>
        <w:t>1．社会保障和就业支出（类）行政事业单位离退休（款）机关事业单位基本养老保险缴费支出（项）、机关事业单位职业年金缴费支出（项）202</w:t>
      </w:r>
      <w:r>
        <w:rPr>
          <w:rFonts w:hint="eastAsia" w:hAnsi="仿宋" w:cs="宋体"/>
          <w:sz w:val="32"/>
          <w:szCs w:val="32"/>
          <w:lang w:val="en-US" w:eastAsia="zh-CN"/>
        </w:rPr>
        <w:t>6</w:t>
      </w:r>
      <w:r>
        <w:rPr>
          <w:rFonts w:hint="eastAsia" w:hAnsi="仿宋" w:cs="宋体"/>
          <w:sz w:val="32"/>
          <w:szCs w:val="32"/>
        </w:rPr>
        <w:t>年预算支出为4</w:t>
      </w:r>
      <w:r>
        <w:rPr>
          <w:rFonts w:hint="eastAsia" w:hAnsi="仿宋" w:cs="宋体"/>
          <w:sz w:val="32"/>
          <w:szCs w:val="32"/>
          <w:lang w:val="en-US" w:eastAsia="zh-CN"/>
        </w:rPr>
        <w:t>9.81</w:t>
      </w:r>
      <w:r>
        <w:rPr>
          <w:rFonts w:hint="eastAsia" w:hAnsi="仿宋" w:cs="宋体"/>
          <w:sz w:val="32"/>
          <w:szCs w:val="32"/>
        </w:rPr>
        <w:t>万元主要用于:职工缴纳基本养老保险和职工职业年金。</w:t>
      </w:r>
    </w:p>
    <w:p w14:paraId="04E54135">
      <w:pPr>
        <w:pStyle w:val="10"/>
        <w:spacing w:line="576" w:lineRule="exact"/>
        <w:ind w:firstLine="640" w:firstLineChars="200"/>
        <w:contextualSpacing/>
        <w:rPr>
          <w:rFonts w:hAnsi="仿宋" w:cs="宋体"/>
          <w:sz w:val="32"/>
          <w:szCs w:val="32"/>
        </w:rPr>
      </w:pPr>
      <w:r>
        <w:rPr>
          <w:rFonts w:hint="eastAsia" w:hAnsi="仿宋" w:cs="宋体"/>
          <w:sz w:val="32"/>
          <w:szCs w:val="32"/>
        </w:rPr>
        <w:t>2．卫生健康支出（类）行政事业单位医疗（款）行政单位医疗（项）2025年预算基本支出为2</w:t>
      </w:r>
      <w:r>
        <w:rPr>
          <w:rFonts w:hint="eastAsia" w:hAnsi="仿宋" w:cs="宋体"/>
          <w:sz w:val="32"/>
          <w:szCs w:val="32"/>
          <w:lang w:val="en-US" w:eastAsia="zh-CN"/>
        </w:rPr>
        <w:t>5.06</w:t>
      </w:r>
      <w:r>
        <w:rPr>
          <w:rFonts w:hint="eastAsia" w:hAnsi="仿宋" w:cs="宋体"/>
          <w:sz w:val="32"/>
          <w:szCs w:val="32"/>
        </w:rPr>
        <w:t>万元，主要用于：职工基本医疗保险。</w:t>
      </w:r>
    </w:p>
    <w:p w14:paraId="5E1AB047">
      <w:pPr>
        <w:pStyle w:val="10"/>
        <w:spacing w:line="576" w:lineRule="exact"/>
        <w:ind w:firstLine="640" w:firstLineChars="200"/>
        <w:contextualSpacing/>
        <w:rPr>
          <w:rFonts w:hAnsi="仿宋" w:cs="宋体"/>
          <w:sz w:val="32"/>
          <w:szCs w:val="32"/>
        </w:rPr>
      </w:pPr>
      <w:r>
        <w:rPr>
          <w:rFonts w:hint="eastAsia" w:hAnsi="仿宋" w:cs="宋体"/>
          <w:sz w:val="32"/>
          <w:szCs w:val="32"/>
        </w:rPr>
        <w:t>3．文化旅游体育与传媒支出为</w:t>
      </w:r>
      <w:r>
        <w:rPr>
          <w:rFonts w:hint="eastAsia" w:cs="宋体"/>
          <w:sz w:val="32"/>
          <w:szCs w:val="32"/>
        </w:rPr>
        <w:t>3</w:t>
      </w:r>
      <w:r>
        <w:rPr>
          <w:rFonts w:hint="eastAsia" w:cs="宋体"/>
          <w:sz w:val="32"/>
          <w:szCs w:val="32"/>
          <w:lang w:val="en-US" w:eastAsia="zh-CN"/>
        </w:rPr>
        <w:t>87.83</w:t>
      </w:r>
      <w:r>
        <w:rPr>
          <w:rFonts w:hint="eastAsia" w:hAnsi="仿宋" w:cs="宋体"/>
          <w:sz w:val="32"/>
          <w:szCs w:val="32"/>
        </w:rPr>
        <w:t>万元，主要用于：职工基本工资、单位正常运转支出。</w:t>
      </w:r>
    </w:p>
    <w:p w14:paraId="21EC1E98">
      <w:pPr>
        <w:pStyle w:val="10"/>
        <w:spacing w:before="0" w:line="576" w:lineRule="exact"/>
        <w:ind w:firstLine="640" w:firstLineChars="200"/>
        <w:contextualSpacing/>
        <w:rPr>
          <w:rFonts w:hAnsi="仿宋" w:cs="宋体"/>
          <w:b/>
          <w:bCs/>
          <w:sz w:val="32"/>
          <w:szCs w:val="32"/>
        </w:rPr>
      </w:pPr>
      <w:r>
        <w:rPr>
          <w:rFonts w:hint="eastAsia" w:hAnsi="仿宋" w:cs="宋体"/>
          <w:sz w:val="32"/>
          <w:szCs w:val="32"/>
        </w:rPr>
        <w:t>4．住房保障支出（类）住房改革支出(款)住房公积金（项）2024年预算基本支出为</w:t>
      </w:r>
      <w:r>
        <w:rPr>
          <w:rFonts w:hint="eastAsia" w:hAnsi="仿宋" w:cs="宋体"/>
          <w:sz w:val="32"/>
          <w:szCs w:val="32"/>
          <w:lang w:val="en-US" w:eastAsia="zh-CN"/>
        </w:rPr>
        <w:t>30.04</w:t>
      </w:r>
      <w:r>
        <w:rPr>
          <w:rFonts w:hint="eastAsia" w:hAnsi="仿宋" w:cs="宋体"/>
          <w:sz w:val="32"/>
          <w:szCs w:val="32"/>
        </w:rPr>
        <w:t>万元，主要用于：职工缴纳住房公积金。</w:t>
      </w:r>
    </w:p>
    <w:p w14:paraId="4099E1AC">
      <w:pPr>
        <w:pStyle w:val="10"/>
        <w:spacing w:before="0" w:line="360" w:lineRule="auto"/>
        <w:ind w:firstLine="979" w:firstLineChars="306"/>
        <w:rPr>
          <w:rFonts w:cs="仿宋_GB2312"/>
          <w:kern w:val="2"/>
          <w:sz w:val="32"/>
          <w:szCs w:val="32"/>
        </w:rPr>
      </w:pPr>
    </w:p>
    <w:p w14:paraId="1AC192D3">
      <w:pPr>
        <w:pStyle w:val="10"/>
        <w:spacing w:before="0" w:line="360" w:lineRule="auto"/>
        <w:ind w:firstLine="660"/>
        <w:rPr>
          <w:rFonts w:ascii="黑体" w:eastAsia="黑体"/>
          <w:sz w:val="32"/>
          <w:szCs w:val="32"/>
        </w:rPr>
      </w:pPr>
      <w:r>
        <w:rPr>
          <w:rFonts w:hint="eastAsia" w:ascii="黑体" w:eastAsia="黑体"/>
          <w:sz w:val="32"/>
          <w:szCs w:val="32"/>
        </w:rPr>
        <w:t>六、一般公共预算基本支出情况说明</w:t>
      </w:r>
    </w:p>
    <w:p w14:paraId="0CBD5C01">
      <w:pPr>
        <w:pStyle w:val="10"/>
        <w:spacing w:before="0" w:line="360" w:lineRule="auto"/>
        <w:ind w:firstLine="640" w:firstLineChars="200"/>
        <w:rPr>
          <w:rFonts w:hint="eastAsia" w:cs="仿宋_GB2312"/>
          <w:kern w:val="2"/>
          <w:sz w:val="32"/>
          <w:szCs w:val="32"/>
          <w:lang w:eastAsia="zh-CN"/>
        </w:rPr>
      </w:pPr>
      <w:r>
        <w:rPr>
          <w:rFonts w:hint="eastAsia" w:cs="仿宋_GB2312"/>
          <w:kern w:val="2"/>
          <w:sz w:val="32"/>
          <w:szCs w:val="32"/>
        </w:rPr>
        <w:t>部门（单位）202</w:t>
      </w:r>
      <w:r>
        <w:rPr>
          <w:rFonts w:hint="eastAsia" w:cs="仿宋_GB2312"/>
          <w:kern w:val="2"/>
          <w:sz w:val="32"/>
          <w:szCs w:val="32"/>
          <w:lang w:val="en-US" w:eastAsia="zh-CN"/>
        </w:rPr>
        <w:t>6</w:t>
      </w:r>
      <w:r>
        <w:rPr>
          <w:rFonts w:hint="eastAsia" w:cs="仿宋_GB2312"/>
          <w:kern w:val="2"/>
          <w:sz w:val="32"/>
          <w:szCs w:val="32"/>
        </w:rPr>
        <w:t>年一般公共预算基本支出</w:t>
      </w:r>
      <w:r>
        <w:rPr>
          <w:rFonts w:hint="eastAsia" w:cs="仿宋_GB2312"/>
          <w:kern w:val="2"/>
          <w:sz w:val="32"/>
          <w:szCs w:val="32"/>
          <w:lang w:val="en-US" w:eastAsia="zh-CN"/>
        </w:rPr>
        <w:t>402.64</w:t>
      </w:r>
      <w:r>
        <w:rPr>
          <w:rFonts w:hint="eastAsia" w:cs="仿宋_GB2312"/>
          <w:kern w:val="2"/>
          <w:sz w:val="32"/>
          <w:szCs w:val="32"/>
        </w:rPr>
        <w:t>万元，其中：人员经费3</w:t>
      </w:r>
      <w:r>
        <w:rPr>
          <w:rFonts w:hint="eastAsia" w:cs="仿宋_GB2312"/>
          <w:kern w:val="2"/>
          <w:sz w:val="32"/>
          <w:szCs w:val="32"/>
          <w:lang w:val="en-US" w:eastAsia="zh-CN"/>
        </w:rPr>
        <w:t>63.51</w:t>
      </w:r>
      <w:r>
        <w:rPr>
          <w:rFonts w:hint="eastAsia" w:cs="仿宋_GB2312"/>
          <w:kern w:val="2"/>
          <w:sz w:val="32"/>
          <w:szCs w:val="32"/>
        </w:rPr>
        <w:t>万元，主要包括：基本工资</w:t>
      </w:r>
      <w:r>
        <w:rPr>
          <w:rFonts w:hint="eastAsia" w:cs="仿宋_GB2312"/>
          <w:kern w:val="2"/>
          <w:sz w:val="32"/>
          <w:szCs w:val="32"/>
          <w:lang w:val="en-US" w:eastAsia="zh-CN"/>
        </w:rPr>
        <w:t>68.77</w:t>
      </w:r>
      <w:r>
        <w:rPr>
          <w:rFonts w:hint="eastAsia" w:cs="仿宋_GB2312"/>
          <w:kern w:val="2"/>
          <w:sz w:val="32"/>
          <w:szCs w:val="32"/>
        </w:rPr>
        <w:t>万元、津贴补贴</w:t>
      </w:r>
      <w:r>
        <w:rPr>
          <w:rFonts w:hint="eastAsia" w:cs="仿宋_GB2312"/>
          <w:kern w:val="2"/>
          <w:sz w:val="32"/>
          <w:szCs w:val="32"/>
          <w:lang w:val="en-US" w:eastAsia="zh-CN"/>
        </w:rPr>
        <w:t>31.21</w:t>
      </w:r>
      <w:r>
        <w:rPr>
          <w:rFonts w:hint="eastAsia" w:cs="仿宋_GB2312"/>
          <w:kern w:val="2"/>
          <w:sz w:val="32"/>
          <w:szCs w:val="32"/>
        </w:rPr>
        <w:t>万元、奖金</w:t>
      </w:r>
      <w:r>
        <w:rPr>
          <w:rFonts w:hint="eastAsia" w:cs="仿宋_GB2312"/>
          <w:kern w:val="2"/>
          <w:sz w:val="32"/>
          <w:szCs w:val="32"/>
          <w:lang w:val="en-US" w:eastAsia="zh-CN"/>
        </w:rPr>
        <w:t>52.44</w:t>
      </w:r>
      <w:r>
        <w:rPr>
          <w:rFonts w:hint="eastAsia" w:cs="仿宋_GB2312"/>
          <w:kern w:val="2"/>
          <w:sz w:val="32"/>
          <w:szCs w:val="32"/>
        </w:rPr>
        <w:t>万元、其他社会保障缴费</w:t>
      </w:r>
      <w:r>
        <w:rPr>
          <w:rFonts w:hint="eastAsia" w:cs="仿宋_GB2312"/>
          <w:kern w:val="2"/>
          <w:sz w:val="32"/>
          <w:szCs w:val="32"/>
          <w:lang w:val="en-US" w:eastAsia="zh-CN"/>
        </w:rPr>
        <w:t>8.9</w:t>
      </w:r>
      <w:r>
        <w:rPr>
          <w:rFonts w:hint="eastAsia" w:cs="仿宋_GB2312"/>
          <w:kern w:val="2"/>
          <w:sz w:val="32"/>
          <w:szCs w:val="32"/>
        </w:rPr>
        <w:t>万元、</w:t>
      </w:r>
      <w:r>
        <w:rPr>
          <w:rFonts w:hint="eastAsia" w:hAnsi="仿宋" w:cs="黑体"/>
          <w:spacing w:val="-2"/>
          <w:kern w:val="2"/>
          <w:sz w:val="32"/>
          <w:szCs w:val="22"/>
        </w:rPr>
        <w:t>职工基本医疗保险</w:t>
      </w:r>
      <w:r>
        <w:rPr>
          <w:rFonts w:hint="eastAsia" w:hAnsi="仿宋" w:cs="黑体"/>
          <w:spacing w:val="-2"/>
          <w:kern w:val="2"/>
          <w:sz w:val="32"/>
          <w:szCs w:val="22"/>
          <w:lang w:val="en-US" w:eastAsia="zh-CN"/>
        </w:rPr>
        <w:t>17.92</w:t>
      </w:r>
      <w:r>
        <w:rPr>
          <w:rFonts w:hint="eastAsia" w:hAnsi="仿宋" w:cs="黑体"/>
          <w:spacing w:val="-2"/>
          <w:kern w:val="2"/>
          <w:sz w:val="32"/>
          <w:szCs w:val="22"/>
        </w:rPr>
        <w:t>万元、</w:t>
      </w:r>
      <w:r>
        <w:rPr>
          <w:rFonts w:hint="eastAsia" w:cs="仿宋_GB2312"/>
          <w:kern w:val="2"/>
          <w:sz w:val="32"/>
          <w:szCs w:val="32"/>
        </w:rPr>
        <w:t>绩效工资</w:t>
      </w:r>
      <w:r>
        <w:rPr>
          <w:rFonts w:hint="eastAsia" w:cs="仿宋_GB2312"/>
          <w:kern w:val="2"/>
          <w:sz w:val="32"/>
          <w:szCs w:val="32"/>
          <w:lang w:val="en-US" w:eastAsia="zh-CN"/>
        </w:rPr>
        <w:t>50.08</w:t>
      </w:r>
      <w:r>
        <w:rPr>
          <w:rFonts w:hint="eastAsia" w:cs="仿宋_GB2312"/>
          <w:kern w:val="2"/>
          <w:sz w:val="32"/>
          <w:szCs w:val="32"/>
        </w:rPr>
        <w:t>万元、机关事业单位基本养老保险缴费</w:t>
      </w:r>
      <w:r>
        <w:rPr>
          <w:rFonts w:hint="eastAsia" w:cs="仿宋_GB2312"/>
          <w:kern w:val="2"/>
          <w:sz w:val="32"/>
          <w:szCs w:val="32"/>
          <w:lang w:val="en-US" w:eastAsia="zh-CN"/>
        </w:rPr>
        <w:t>33.21</w:t>
      </w:r>
      <w:r>
        <w:rPr>
          <w:rFonts w:hint="eastAsia" w:cs="仿宋_GB2312"/>
          <w:kern w:val="2"/>
          <w:sz w:val="32"/>
          <w:szCs w:val="32"/>
        </w:rPr>
        <w:t>万元、职业年金缴费</w:t>
      </w:r>
      <w:r>
        <w:rPr>
          <w:rFonts w:hint="eastAsia" w:cs="仿宋_GB2312"/>
          <w:kern w:val="2"/>
          <w:sz w:val="32"/>
          <w:szCs w:val="32"/>
          <w:lang w:val="en-US" w:eastAsia="zh-CN"/>
        </w:rPr>
        <w:t>16.6</w:t>
      </w:r>
      <w:r>
        <w:rPr>
          <w:rFonts w:hint="eastAsia" w:cs="仿宋_GB2312"/>
          <w:kern w:val="2"/>
          <w:sz w:val="32"/>
          <w:szCs w:val="32"/>
        </w:rPr>
        <w:t>万元、住房公积金</w:t>
      </w:r>
      <w:r>
        <w:rPr>
          <w:rFonts w:hint="eastAsia" w:cs="仿宋_GB2312"/>
          <w:kern w:val="2"/>
          <w:sz w:val="32"/>
          <w:szCs w:val="32"/>
          <w:lang w:val="en-US" w:eastAsia="zh-CN"/>
        </w:rPr>
        <w:t>30.04</w:t>
      </w:r>
      <w:r>
        <w:rPr>
          <w:rFonts w:hint="eastAsia" w:cs="仿宋_GB2312"/>
          <w:kern w:val="2"/>
          <w:sz w:val="32"/>
          <w:szCs w:val="32"/>
        </w:rPr>
        <w:t>万元、其他对个人和家庭的补助支出</w:t>
      </w:r>
      <w:r>
        <w:rPr>
          <w:rFonts w:hint="eastAsia" w:cs="仿宋_GB2312"/>
          <w:kern w:val="2"/>
          <w:sz w:val="32"/>
          <w:szCs w:val="32"/>
          <w:lang w:val="en-US" w:eastAsia="zh-CN"/>
        </w:rPr>
        <w:t>54.34</w:t>
      </w:r>
      <w:r>
        <w:rPr>
          <w:rFonts w:hint="eastAsia" w:cs="仿宋_GB2312"/>
          <w:kern w:val="2"/>
          <w:sz w:val="32"/>
          <w:szCs w:val="32"/>
        </w:rPr>
        <w:t>万元</w:t>
      </w:r>
      <w:r>
        <w:rPr>
          <w:rFonts w:hint="eastAsia" w:cs="仿宋_GB2312"/>
          <w:kern w:val="2"/>
          <w:sz w:val="32"/>
          <w:szCs w:val="32"/>
          <w:lang w:eastAsia="zh-CN"/>
        </w:rPr>
        <w:t>。</w:t>
      </w:r>
    </w:p>
    <w:p w14:paraId="48A2DFBD">
      <w:pPr>
        <w:pStyle w:val="10"/>
        <w:spacing w:before="0" w:line="360" w:lineRule="auto"/>
        <w:ind w:firstLine="640" w:firstLineChars="200"/>
        <w:rPr>
          <w:rFonts w:ascii="黑体" w:eastAsia="黑体"/>
          <w:sz w:val="32"/>
          <w:szCs w:val="32"/>
        </w:rPr>
      </w:pPr>
      <w:r>
        <w:rPr>
          <w:rFonts w:hint="eastAsia" w:cs="仿宋_GB2312"/>
          <w:kern w:val="2"/>
          <w:sz w:val="32"/>
          <w:szCs w:val="32"/>
        </w:rPr>
        <w:t>公用经费3</w:t>
      </w:r>
      <w:r>
        <w:rPr>
          <w:rFonts w:hint="eastAsia" w:cs="仿宋_GB2312"/>
          <w:kern w:val="2"/>
          <w:sz w:val="32"/>
          <w:szCs w:val="32"/>
          <w:lang w:val="en-US" w:eastAsia="zh-CN"/>
        </w:rPr>
        <w:t>9.13</w:t>
      </w:r>
      <w:r>
        <w:rPr>
          <w:rFonts w:hint="eastAsia" w:cs="仿宋_GB2312"/>
          <w:kern w:val="2"/>
          <w:sz w:val="32"/>
          <w:szCs w:val="32"/>
        </w:rPr>
        <w:t>万元，主要包括：办公费1.04万元、</w:t>
      </w:r>
      <w:r>
        <w:rPr>
          <w:rFonts w:hint="eastAsia" w:hAnsi="仿宋" w:cs="黑体"/>
          <w:spacing w:val="-2"/>
          <w:kern w:val="2"/>
          <w:sz w:val="32"/>
          <w:szCs w:val="22"/>
        </w:rPr>
        <w:t>印刷费0.00万元、咨询费0.00万元、手续费0.00万元、</w:t>
      </w:r>
      <w:r>
        <w:rPr>
          <w:rFonts w:hint="eastAsia" w:cs="仿宋_GB2312"/>
          <w:kern w:val="2"/>
          <w:sz w:val="32"/>
          <w:szCs w:val="32"/>
        </w:rPr>
        <w:t>水费0.39万元、电费0.52万元、</w:t>
      </w:r>
      <w:r>
        <w:rPr>
          <w:rFonts w:hint="eastAsia" w:hAnsi="仿宋" w:cs="黑体"/>
          <w:spacing w:val="-2"/>
          <w:kern w:val="2"/>
          <w:sz w:val="32"/>
          <w:szCs w:val="22"/>
        </w:rPr>
        <w:t>物业管理费0.00万元、</w:t>
      </w:r>
      <w:r>
        <w:rPr>
          <w:rFonts w:hint="eastAsia" w:cs="仿宋_GB2312"/>
          <w:kern w:val="2"/>
          <w:sz w:val="32"/>
          <w:szCs w:val="32"/>
        </w:rPr>
        <w:t>邮电费2.</w:t>
      </w:r>
      <w:r>
        <w:rPr>
          <w:rFonts w:hint="eastAsia" w:cs="仿宋_GB2312"/>
          <w:kern w:val="2"/>
          <w:sz w:val="32"/>
          <w:szCs w:val="32"/>
          <w:lang w:val="en-US" w:eastAsia="zh-CN"/>
        </w:rPr>
        <w:t>69</w:t>
      </w:r>
      <w:r>
        <w:rPr>
          <w:rFonts w:hint="eastAsia" w:cs="仿宋_GB2312"/>
          <w:kern w:val="2"/>
          <w:sz w:val="32"/>
          <w:szCs w:val="32"/>
        </w:rPr>
        <w:t>万元、差旅费5.7万元、</w:t>
      </w:r>
      <w:r>
        <w:rPr>
          <w:rFonts w:hint="eastAsia" w:hAnsi="仿宋" w:cs="黑体"/>
          <w:spacing w:val="-2"/>
          <w:kern w:val="2"/>
          <w:sz w:val="32"/>
          <w:szCs w:val="22"/>
        </w:rPr>
        <w:t>因公出国费0.00万元、维修（护）费0.76万元、租赁费0.00万元、会议费0.00万元、</w:t>
      </w:r>
      <w:r>
        <w:rPr>
          <w:rFonts w:hint="eastAsia" w:cs="仿宋_GB2312"/>
          <w:kern w:val="2"/>
          <w:sz w:val="32"/>
          <w:szCs w:val="32"/>
        </w:rPr>
        <w:t>培训费2.</w:t>
      </w:r>
      <w:r>
        <w:rPr>
          <w:rFonts w:hint="eastAsia" w:cs="仿宋_GB2312"/>
          <w:kern w:val="2"/>
          <w:sz w:val="32"/>
          <w:szCs w:val="32"/>
          <w:lang w:val="en-US" w:eastAsia="zh-CN"/>
        </w:rPr>
        <w:t>54</w:t>
      </w:r>
      <w:r>
        <w:rPr>
          <w:rFonts w:hint="eastAsia" w:cs="仿宋_GB2312"/>
          <w:kern w:val="2"/>
          <w:sz w:val="32"/>
          <w:szCs w:val="32"/>
        </w:rPr>
        <w:t>万元、</w:t>
      </w:r>
      <w:r>
        <w:rPr>
          <w:rFonts w:hint="eastAsia" w:hAnsi="仿宋" w:cs="黑体"/>
          <w:spacing w:val="-2"/>
          <w:kern w:val="2"/>
          <w:sz w:val="32"/>
          <w:szCs w:val="22"/>
        </w:rPr>
        <w:t>公务接待费0.4</w:t>
      </w:r>
      <w:r>
        <w:rPr>
          <w:rFonts w:hint="eastAsia" w:hAnsi="仿宋" w:cs="黑体"/>
          <w:spacing w:val="-2"/>
          <w:kern w:val="2"/>
          <w:sz w:val="32"/>
          <w:szCs w:val="22"/>
          <w:lang w:val="en-US" w:eastAsia="zh-CN"/>
        </w:rPr>
        <w:t>6</w:t>
      </w:r>
      <w:r>
        <w:rPr>
          <w:rFonts w:hint="eastAsia" w:hAnsi="仿宋" w:cs="黑体"/>
          <w:spacing w:val="-2"/>
          <w:kern w:val="2"/>
          <w:sz w:val="32"/>
          <w:szCs w:val="22"/>
        </w:rPr>
        <w:t>万元、公务用车运行维护费5.04万元、</w:t>
      </w:r>
      <w:r>
        <w:rPr>
          <w:rFonts w:hint="eastAsia" w:cs="仿宋_GB2312"/>
          <w:kern w:val="2"/>
          <w:sz w:val="32"/>
          <w:szCs w:val="32"/>
        </w:rPr>
        <w:t>其他商品和服务支出</w:t>
      </w:r>
      <w:r>
        <w:rPr>
          <w:rFonts w:hint="eastAsia" w:cs="仿宋_GB2312"/>
          <w:kern w:val="2"/>
          <w:sz w:val="32"/>
          <w:szCs w:val="32"/>
          <w:lang w:val="en-US" w:eastAsia="zh-CN"/>
        </w:rPr>
        <w:t>19.99</w:t>
      </w:r>
      <w:r>
        <w:rPr>
          <w:rFonts w:hint="eastAsia" w:cs="仿宋_GB2312"/>
          <w:kern w:val="2"/>
          <w:sz w:val="32"/>
          <w:szCs w:val="32"/>
        </w:rPr>
        <w:t>万元。</w:t>
      </w:r>
      <w:r>
        <w:rPr>
          <w:rFonts w:hint="eastAsia" w:cs="仿宋_GB2312"/>
          <w:kern w:val="2"/>
          <w:sz w:val="32"/>
          <w:szCs w:val="32"/>
        </w:rPr>
        <w:br w:type="textWrapping"/>
      </w:r>
      <w:r>
        <w:rPr>
          <w:rFonts w:hint="eastAsia" w:ascii="黑体" w:eastAsia="黑体"/>
          <w:sz w:val="32"/>
          <w:szCs w:val="32"/>
        </w:rPr>
        <w:t xml:space="preserve">    七、“三公”经费财政拨款预算安排情况说明</w:t>
      </w:r>
    </w:p>
    <w:p w14:paraId="1E96E22D">
      <w:pPr>
        <w:pStyle w:val="10"/>
        <w:spacing w:before="0" w:line="360" w:lineRule="auto"/>
        <w:ind w:firstLine="640" w:firstLineChars="200"/>
        <w:rPr>
          <w:rFonts w:cs="仿宋_GB2312"/>
          <w:kern w:val="2"/>
          <w:sz w:val="32"/>
          <w:szCs w:val="32"/>
        </w:rPr>
      </w:pPr>
      <w:r>
        <w:rPr>
          <w:rFonts w:hint="eastAsia" w:cs="仿宋_GB2312"/>
          <w:kern w:val="2"/>
          <w:sz w:val="32"/>
          <w:szCs w:val="32"/>
        </w:rPr>
        <w:t>部门（单位）2026年“三公”经费财政拨款预算数</w:t>
      </w:r>
      <w:r>
        <w:rPr>
          <w:rFonts w:hint="eastAsia" w:cs="仿宋_GB2312"/>
          <w:kern w:val="2"/>
          <w:sz w:val="32"/>
          <w:szCs w:val="32"/>
          <w:lang w:val="en-US" w:eastAsia="zh-CN"/>
        </w:rPr>
        <w:t>5.50</w:t>
      </w:r>
      <w:r>
        <w:rPr>
          <w:rFonts w:hint="eastAsia" w:cs="仿宋_GB2312"/>
          <w:kern w:val="2"/>
          <w:sz w:val="32"/>
          <w:szCs w:val="32"/>
        </w:rPr>
        <w:t>万元，其中：因公出国（境）经费</w:t>
      </w:r>
      <w:r>
        <w:rPr>
          <w:rFonts w:hint="eastAsia" w:cs="仿宋_GB2312"/>
          <w:kern w:val="2"/>
          <w:sz w:val="32"/>
          <w:szCs w:val="32"/>
          <w:lang w:val="en-US" w:eastAsia="zh-CN"/>
        </w:rPr>
        <w:t>0</w:t>
      </w:r>
      <w:r>
        <w:rPr>
          <w:rFonts w:hint="eastAsia" w:cs="仿宋_GB2312"/>
          <w:kern w:val="2"/>
          <w:sz w:val="32"/>
          <w:szCs w:val="32"/>
        </w:rPr>
        <w:t>万元，公务接待费</w:t>
      </w:r>
      <w:r>
        <w:rPr>
          <w:rFonts w:hint="eastAsia" w:cs="仿宋_GB2312"/>
          <w:kern w:val="2"/>
          <w:sz w:val="32"/>
          <w:szCs w:val="32"/>
          <w:lang w:val="en-US" w:eastAsia="zh-CN"/>
        </w:rPr>
        <w:t>0.46</w:t>
      </w:r>
      <w:r>
        <w:rPr>
          <w:rFonts w:hint="eastAsia" w:cs="仿宋_GB2312"/>
          <w:kern w:val="2"/>
          <w:sz w:val="32"/>
          <w:szCs w:val="32"/>
        </w:rPr>
        <w:t>万元，公务用车购置及运行维护费</w:t>
      </w:r>
      <w:r>
        <w:rPr>
          <w:rFonts w:hint="eastAsia" w:cs="仿宋_GB2312"/>
          <w:kern w:val="2"/>
          <w:sz w:val="32"/>
          <w:szCs w:val="32"/>
          <w:lang w:val="en-US" w:eastAsia="zh-CN"/>
        </w:rPr>
        <w:t>5.04</w:t>
      </w:r>
      <w:r>
        <w:rPr>
          <w:rFonts w:hint="eastAsia" w:cs="仿宋_GB2312"/>
          <w:kern w:val="2"/>
          <w:sz w:val="32"/>
          <w:szCs w:val="32"/>
        </w:rPr>
        <w:t>万元。</w:t>
      </w:r>
    </w:p>
    <w:p w14:paraId="06037724">
      <w:pPr>
        <w:pStyle w:val="10"/>
        <w:spacing w:before="0" w:line="360" w:lineRule="auto"/>
        <w:ind w:firstLine="640" w:firstLineChars="200"/>
        <w:rPr>
          <w:rFonts w:cs="仿宋_GB2312"/>
          <w:kern w:val="2"/>
          <w:sz w:val="32"/>
          <w:szCs w:val="32"/>
        </w:rPr>
      </w:pPr>
      <w:r>
        <w:rPr>
          <w:rFonts w:hint="eastAsia" w:cs="仿宋_GB2312"/>
          <w:kern w:val="2"/>
          <w:sz w:val="32"/>
          <w:szCs w:val="32"/>
        </w:rPr>
        <w:t>（一）2026年因公出国（境）经费</w:t>
      </w:r>
      <w:r>
        <w:rPr>
          <w:rFonts w:hint="eastAsia" w:cs="仿宋_GB2312"/>
          <w:kern w:val="2"/>
          <w:sz w:val="32"/>
          <w:szCs w:val="32"/>
          <w:lang w:val="en-US" w:eastAsia="zh-CN"/>
        </w:rPr>
        <w:t>0</w:t>
      </w:r>
      <w:r>
        <w:rPr>
          <w:rFonts w:hint="eastAsia" w:cs="仿宋_GB2312"/>
          <w:kern w:val="2"/>
          <w:sz w:val="32"/>
          <w:szCs w:val="32"/>
        </w:rPr>
        <w:t>万元。</w:t>
      </w:r>
    </w:p>
    <w:p w14:paraId="37E94CAE">
      <w:pPr>
        <w:pStyle w:val="10"/>
        <w:spacing w:before="0" w:line="360" w:lineRule="auto"/>
        <w:ind w:firstLine="640" w:firstLineChars="200"/>
        <w:rPr>
          <w:rFonts w:hint="eastAsia" w:eastAsia="仿宋_GB2312" w:cs="仿宋_GB2312"/>
          <w:color w:val="000000"/>
          <w:kern w:val="2"/>
          <w:sz w:val="32"/>
          <w:szCs w:val="32"/>
          <w:lang w:val="en-US" w:eastAsia="zh-CN"/>
        </w:rPr>
      </w:pPr>
      <w:r>
        <w:rPr>
          <w:rFonts w:hint="eastAsia" w:cs="仿宋_GB2312"/>
          <w:kern w:val="2"/>
          <w:sz w:val="32"/>
          <w:szCs w:val="32"/>
        </w:rPr>
        <w:t>（二）</w:t>
      </w:r>
      <w:r>
        <w:rPr>
          <w:rFonts w:hint="eastAsia" w:cs="仿宋_GB2312"/>
          <w:color w:val="000000"/>
          <w:kern w:val="2"/>
          <w:sz w:val="32"/>
          <w:szCs w:val="32"/>
        </w:rPr>
        <w:t>2026年公务接待经费</w:t>
      </w:r>
      <w:r>
        <w:rPr>
          <w:rFonts w:hint="eastAsia" w:cs="仿宋_GB2312"/>
          <w:color w:val="000000"/>
          <w:kern w:val="2"/>
          <w:sz w:val="32"/>
          <w:szCs w:val="32"/>
          <w:lang w:val="en-US" w:eastAsia="zh-CN"/>
        </w:rPr>
        <w:t>0.46</w:t>
      </w:r>
      <w:r>
        <w:rPr>
          <w:rFonts w:hint="eastAsia" w:cs="仿宋_GB2312"/>
          <w:color w:val="000000"/>
          <w:kern w:val="2"/>
          <w:sz w:val="32"/>
          <w:szCs w:val="32"/>
        </w:rPr>
        <w:t>万元。较2025年预算经费</w:t>
      </w:r>
      <w:r>
        <w:rPr>
          <w:rFonts w:hint="eastAsia" w:cs="宋体"/>
          <w:sz w:val="32"/>
          <w:szCs w:val="32"/>
        </w:rPr>
        <w:t>增</w:t>
      </w:r>
      <w:r>
        <w:rPr>
          <w:rFonts w:hint="eastAsia" w:cs="宋体"/>
          <w:sz w:val="32"/>
          <w:szCs w:val="32"/>
          <w:lang w:eastAsia="zh-CN"/>
        </w:rPr>
        <w:t>加</w:t>
      </w:r>
      <w:r>
        <w:rPr>
          <w:rFonts w:hint="eastAsia" w:cs="宋体"/>
          <w:sz w:val="32"/>
          <w:szCs w:val="32"/>
          <w:lang w:val="en-US" w:eastAsia="zh-CN"/>
        </w:rPr>
        <w:t>0.01</w:t>
      </w:r>
      <w:r>
        <w:rPr>
          <w:rFonts w:hint="eastAsia" w:cs="仿宋_GB2312"/>
          <w:color w:val="000000"/>
          <w:kern w:val="2"/>
          <w:sz w:val="32"/>
          <w:szCs w:val="32"/>
        </w:rPr>
        <w:t>万元</w:t>
      </w:r>
      <w:r>
        <w:rPr>
          <w:rFonts w:hint="eastAsia" w:cs="仿宋_GB2312"/>
          <w:color w:val="000000"/>
          <w:kern w:val="2"/>
          <w:sz w:val="32"/>
          <w:szCs w:val="32"/>
          <w:lang w:eastAsia="zh-CN"/>
        </w:rPr>
        <w:t>。</w:t>
      </w:r>
    </w:p>
    <w:p w14:paraId="5D66E227">
      <w:pPr>
        <w:pStyle w:val="10"/>
        <w:spacing w:before="0" w:line="360" w:lineRule="auto"/>
        <w:ind w:firstLine="640" w:firstLineChars="200"/>
        <w:rPr>
          <w:rFonts w:hint="eastAsia" w:cs="仿宋_GB2312"/>
          <w:color w:val="000000"/>
          <w:kern w:val="2"/>
          <w:sz w:val="32"/>
          <w:szCs w:val="32"/>
          <w:lang w:eastAsia="zh-CN"/>
        </w:rPr>
      </w:pPr>
      <w:r>
        <w:rPr>
          <w:rFonts w:hint="eastAsia" w:cs="仿宋_GB2312"/>
          <w:color w:val="000000"/>
          <w:kern w:val="2"/>
          <w:sz w:val="32"/>
          <w:szCs w:val="32"/>
        </w:rPr>
        <w:t>（三）2026年公务用车购置及运行维护费</w:t>
      </w:r>
      <w:r>
        <w:rPr>
          <w:rFonts w:hint="eastAsia" w:cs="仿宋_GB2312"/>
          <w:color w:val="000000"/>
          <w:kern w:val="2"/>
          <w:sz w:val="32"/>
          <w:szCs w:val="32"/>
          <w:lang w:val="en-US" w:eastAsia="zh-CN"/>
        </w:rPr>
        <w:t>5.04</w:t>
      </w:r>
      <w:r>
        <w:rPr>
          <w:rFonts w:hint="eastAsia" w:cs="仿宋_GB2312"/>
          <w:color w:val="000000"/>
          <w:kern w:val="2"/>
          <w:sz w:val="32"/>
          <w:szCs w:val="32"/>
        </w:rPr>
        <w:t>万元。较2025年预算经费</w:t>
      </w:r>
      <w:r>
        <w:rPr>
          <w:rFonts w:hint="eastAsia" w:cs="仿宋_GB2312"/>
          <w:color w:val="000000"/>
          <w:kern w:val="2"/>
          <w:sz w:val="32"/>
          <w:szCs w:val="32"/>
          <w:lang w:eastAsia="zh-CN"/>
        </w:rPr>
        <w:t>无增减。</w:t>
      </w:r>
    </w:p>
    <w:p w14:paraId="022FBD3E">
      <w:pPr>
        <w:pStyle w:val="10"/>
        <w:spacing w:before="0" w:line="360" w:lineRule="auto"/>
        <w:ind w:firstLine="640" w:firstLineChars="200"/>
        <w:rPr>
          <w:rFonts w:ascii="黑体" w:eastAsia="黑体"/>
          <w:sz w:val="32"/>
          <w:szCs w:val="32"/>
        </w:rPr>
      </w:pPr>
      <w:r>
        <w:rPr>
          <w:rFonts w:hint="eastAsia" w:ascii="黑体" w:eastAsia="黑体"/>
          <w:sz w:val="32"/>
          <w:szCs w:val="32"/>
        </w:rPr>
        <w:t>八、政府性基金</w:t>
      </w:r>
      <w:r>
        <w:rPr>
          <w:rFonts w:hint="eastAsia" w:ascii="黑体" w:eastAsia="黑体" w:cs="仿宋_GB2312"/>
          <w:kern w:val="2"/>
          <w:sz w:val="32"/>
          <w:szCs w:val="32"/>
        </w:rPr>
        <w:t>预算</w:t>
      </w:r>
      <w:r>
        <w:rPr>
          <w:rFonts w:hint="eastAsia" w:ascii="黑体" w:eastAsia="黑体"/>
          <w:sz w:val="32"/>
          <w:szCs w:val="32"/>
        </w:rPr>
        <w:t>支出情况说明</w:t>
      </w:r>
    </w:p>
    <w:p w14:paraId="62A47EE8">
      <w:pPr>
        <w:pStyle w:val="10"/>
        <w:spacing w:before="0" w:line="360" w:lineRule="auto"/>
        <w:ind w:firstLine="640" w:firstLineChars="200"/>
        <w:rPr>
          <w:rFonts w:cs="仿宋_GB2312"/>
          <w:kern w:val="2"/>
          <w:sz w:val="32"/>
          <w:szCs w:val="32"/>
        </w:rPr>
      </w:pPr>
      <w:r>
        <w:rPr>
          <w:rFonts w:hint="eastAsia" w:cs="仿宋_GB2312"/>
          <w:kern w:val="2"/>
          <w:sz w:val="32"/>
          <w:szCs w:val="32"/>
        </w:rPr>
        <w:t>部门（单位）2026年政府性基金预算拨款安排的支出</w:t>
      </w:r>
      <w:r>
        <w:rPr>
          <w:rFonts w:hint="eastAsia" w:cs="仿宋_GB2312"/>
          <w:kern w:val="2"/>
          <w:sz w:val="32"/>
          <w:szCs w:val="32"/>
          <w:lang w:val="en-US" w:eastAsia="zh-CN"/>
        </w:rPr>
        <w:t>0</w:t>
      </w:r>
      <w:r>
        <w:rPr>
          <w:rFonts w:hint="eastAsia" w:cs="仿宋_GB2312"/>
          <w:kern w:val="2"/>
          <w:sz w:val="32"/>
          <w:szCs w:val="32"/>
        </w:rPr>
        <w:t>万元。较2025年预算经费</w:t>
      </w:r>
      <w:r>
        <w:rPr>
          <w:rFonts w:hint="eastAsia" w:cs="宋体"/>
          <w:sz w:val="32"/>
          <w:szCs w:val="32"/>
        </w:rPr>
        <w:t>增加/</w:t>
      </w:r>
      <w:r>
        <w:rPr>
          <w:rFonts w:hint="eastAsia" w:cs="仿宋_GB2312"/>
          <w:color w:val="000000"/>
          <w:kern w:val="2"/>
          <w:sz w:val="32"/>
          <w:szCs w:val="32"/>
        </w:rPr>
        <w:t>减少</w:t>
      </w:r>
      <w:r>
        <w:rPr>
          <w:rFonts w:hint="eastAsia" w:cs="仿宋_GB2312"/>
          <w:color w:val="000000"/>
          <w:kern w:val="2"/>
          <w:sz w:val="32"/>
          <w:szCs w:val="32"/>
          <w:lang w:val="en-US" w:eastAsia="zh-CN"/>
        </w:rPr>
        <w:t>0</w:t>
      </w:r>
      <w:r>
        <w:rPr>
          <w:rFonts w:hint="eastAsia" w:cs="仿宋_GB2312"/>
          <w:kern w:val="2"/>
          <w:sz w:val="32"/>
          <w:szCs w:val="32"/>
        </w:rPr>
        <w:t>万元，增长</w:t>
      </w:r>
      <w:r>
        <w:rPr>
          <w:rFonts w:hint="eastAsia" w:cs="仿宋_GB2312"/>
          <w:kern w:val="2"/>
          <w:sz w:val="32"/>
          <w:szCs w:val="32"/>
          <w:lang w:val="en-US" w:eastAsia="zh-CN"/>
        </w:rPr>
        <w:t>0</w:t>
      </w:r>
      <w:r>
        <w:rPr>
          <w:rFonts w:hint="eastAsia" w:cs="仿宋_GB2312"/>
          <w:kern w:val="2"/>
          <w:sz w:val="32"/>
          <w:szCs w:val="32"/>
        </w:rPr>
        <w:t>%。</w:t>
      </w:r>
    </w:p>
    <w:p w14:paraId="60CCC3E5">
      <w:pPr>
        <w:pStyle w:val="10"/>
        <w:spacing w:before="0" w:line="360" w:lineRule="auto"/>
        <w:ind w:firstLine="640" w:firstLineChars="200"/>
        <w:rPr>
          <w:rFonts w:ascii="黑体" w:eastAsia="黑体"/>
          <w:sz w:val="32"/>
          <w:szCs w:val="32"/>
        </w:rPr>
      </w:pPr>
      <w:r>
        <w:rPr>
          <w:rFonts w:hint="eastAsia" w:ascii="黑体" w:eastAsia="黑体"/>
          <w:sz w:val="32"/>
          <w:szCs w:val="32"/>
        </w:rPr>
        <w:t>九、其他重要事项的情况说明</w:t>
      </w:r>
    </w:p>
    <w:p w14:paraId="562273F9">
      <w:pPr>
        <w:pStyle w:val="10"/>
        <w:spacing w:before="0" w:line="360" w:lineRule="auto"/>
        <w:ind w:firstLine="640" w:firstLineChars="200"/>
        <w:rPr>
          <w:rFonts w:cs="仿宋_GB2312"/>
          <w:color w:val="FF0000"/>
          <w:kern w:val="2"/>
          <w:sz w:val="32"/>
          <w:szCs w:val="32"/>
        </w:rPr>
      </w:pPr>
      <w:r>
        <w:rPr>
          <w:rFonts w:hint="eastAsia" w:ascii="楷体" w:eastAsia="楷体" w:cs="仿宋_GB2312"/>
          <w:kern w:val="2"/>
          <w:sz w:val="32"/>
          <w:szCs w:val="32"/>
        </w:rPr>
        <w:t>（一）机关运行经费</w:t>
      </w:r>
      <w:r>
        <w:rPr>
          <w:rFonts w:hint="eastAsia" w:cs="仿宋_GB2312"/>
          <w:kern w:val="2"/>
          <w:sz w:val="32"/>
          <w:szCs w:val="32"/>
        </w:rPr>
        <w:br w:type="textWrapping"/>
      </w:r>
      <w:r>
        <w:rPr>
          <w:rFonts w:hint="eastAsia" w:cs="仿宋_GB2312"/>
          <w:kern w:val="2"/>
          <w:sz w:val="32"/>
          <w:szCs w:val="32"/>
        </w:rPr>
        <w:t>　  部门（单位）2026年机关运行经费财政拨款预算为</w:t>
      </w:r>
      <w:r>
        <w:rPr>
          <w:rFonts w:hint="eastAsia" w:cs="仿宋_GB2312"/>
          <w:kern w:val="2"/>
          <w:sz w:val="32"/>
          <w:szCs w:val="32"/>
          <w:lang w:val="en-US" w:eastAsia="zh-CN"/>
        </w:rPr>
        <w:t>0</w:t>
      </w:r>
      <w:r>
        <w:rPr>
          <w:rFonts w:hint="eastAsia" w:cs="仿宋_GB2312"/>
          <w:kern w:val="2"/>
          <w:sz w:val="32"/>
          <w:szCs w:val="32"/>
        </w:rPr>
        <w:t>万元，比2025年预算</w:t>
      </w:r>
      <w:r>
        <w:rPr>
          <w:rFonts w:hint="eastAsia" w:cs="宋体"/>
          <w:sz w:val="32"/>
          <w:szCs w:val="32"/>
        </w:rPr>
        <w:t>增加/</w:t>
      </w:r>
      <w:r>
        <w:rPr>
          <w:rFonts w:hint="eastAsia" w:cs="仿宋_GB2312"/>
          <w:color w:val="000000"/>
          <w:kern w:val="2"/>
          <w:sz w:val="32"/>
          <w:szCs w:val="32"/>
        </w:rPr>
        <w:t>减少</w:t>
      </w:r>
      <w:r>
        <w:rPr>
          <w:rFonts w:hint="eastAsia" w:cs="仿宋_GB2312"/>
          <w:color w:val="000000"/>
          <w:kern w:val="2"/>
          <w:sz w:val="32"/>
          <w:szCs w:val="32"/>
          <w:lang w:val="en-US" w:eastAsia="zh-CN"/>
        </w:rPr>
        <w:t>0</w:t>
      </w:r>
      <w:r>
        <w:rPr>
          <w:rFonts w:hint="eastAsia" w:cs="仿宋_GB2312"/>
          <w:color w:val="000000"/>
          <w:kern w:val="2"/>
          <w:sz w:val="32"/>
          <w:szCs w:val="32"/>
        </w:rPr>
        <w:t>万元，减少</w:t>
      </w:r>
      <w:r>
        <w:rPr>
          <w:rFonts w:hint="eastAsia" w:cs="仿宋_GB2312"/>
          <w:color w:val="000000"/>
          <w:kern w:val="2"/>
          <w:sz w:val="32"/>
          <w:szCs w:val="32"/>
          <w:lang w:val="en-US" w:eastAsia="zh-CN"/>
        </w:rPr>
        <w:t>0</w:t>
      </w:r>
      <w:r>
        <w:rPr>
          <w:rFonts w:hint="eastAsia" w:cs="仿宋_GB2312"/>
          <w:color w:val="000000"/>
          <w:kern w:val="2"/>
          <w:sz w:val="32"/>
          <w:szCs w:val="32"/>
        </w:rPr>
        <w:t xml:space="preserve">%。 </w:t>
      </w:r>
    </w:p>
    <w:p w14:paraId="200E1AE1">
      <w:pPr>
        <w:pStyle w:val="10"/>
        <w:spacing w:before="0" w:line="360" w:lineRule="auto"/>
        <w:ind w:firstLine="640" w:firstLineChars="200"/>
        <w:rPr>
          <w:rFonts w:hint="eastAsia" w:cs="仿宋_GB2312"/>
          <w:color w:val="000000"/>
          <w:kern w:val="2"/>
          <w:sz w:val="32"/>
          <w:szCs w:val="32"/>
          <w:lang w:eastAsia="zh-CN"/>
        </w:rPr>
      </w:pPr>
      <w:r>
        <w:rPr>
          <w:rFonts w:hint="eastAsia" w:ascii="楷体" w:eastAsia="楷体" w:cs="仿宋_GB2312"/>
          <w:kern w:val="2"/>
          <w:sz w:val="32"/>
          <w:szCs w:val="32"/>
        </w:rPr>
        <w:t>（二）政府采购情况</w:t>
      </w:r>
      <w:r>
        <w:rPr>
          <w:rFonts w:hint="eastAsia" w:cs="仿宋_GB2312"/>
          <w:kern w:val="2"/>
          <w:sz w:val="32"/>
          <w:szCs w:val="32"/>
        </w:rPr>
        <w:br w:type="textWrapping"/>
      </w:r>
      <w:r>
        <w:rPr>
          <w:rFonts w:hint="eastAsia" w:cs="仿宋_GB2312"/>
          <w:kern w:val="2"/>
          <w:sz w:val="32"/>
          <w:szCs w:val="32"/>
        </w:rPr>
        <w:t>　</w:t>
      </w:r>
      <w:r>
        <w:rPr>
          <w:rFonts w:hint="eastAsia" w:cs="仿宋_GB2312"/>
          <w:color w:val="000000"/>
          <w:kern w:val="2"/>
          <w:sz w:val="32"/>
          <w:szCs w:val="32"/>
        </w:rPr>
        <w:t>　 2026年</w:t>
      </w:r>
      <w:r>
        <w:rPr>
          <w:rFonts w:hint="eastAsia" w:cs="仿宋_GB2312"/>
          <w:kern w:val="2"/>
          <w:sz w:val="32"/>
          <w:szCs w:val="32"/>
        </w:rPr>
        <w:t>部门（单位）</w:t>
      </w:r>
      <w:r>
        <w:rPr>
          <w:rFonts w:hint="eastAsia" w:cs="仿宋_GB2312"/>
          <w:color w:val="000000"/>
          <w:kern w:val="2"/>
          <w:sz w:val="32"/>
          <w:szCs w:val="32"/>
        </w:rPr>
        <w:t>安排政府采购预算</w:t>
      </w:r>
      <w:r>
        <w:rPr>
          <w:rFonts w:hint="eastAsia" w:cs="仿宋_GB2312"/>
          <w:color w:val="000000"/>
          <w:kern w:val="2"/>
          <w:sz w:val="32"/>
          <w:szCs w:val="32"/>
          <w:lang w:val="en-US" w:eastAsia="zh-CN"/>
        </w:rPr>
        <w:t>0</w:t>
      </w:r>
      <w:r>
        <w:rPr>
          <w:rFonts w:hint="eastAsia" w:cs="仿宋_GB2312"/>
          <w:color w:val="000000"/>
          <w:kern w:val="2"/>
          <w:sz w:val="32"/>
          <w:szCs w:val="32"/>
        </w:rPr>
        <w:t>万元</w:t>
      </w:r>
      <w:r>
        <w:rPr>
          <w:rFonts w:hint="eastAsia" w:cs="仿宋_GB2312"/>
          <w:color w:val="000000"/>
          <w:kern w:val="2"/>
          <w:sz w:val="32"/>
          <w:szCs w:val="32"/>
          <w:lang w:eastAsia="zh-CN"/>
        </w:rPr>
        <w:t>。</w:t>
      </w:r>
    </w:p>
    <w:p w14:paraId="78DD19FA">
      <w:pPr>
        <w:pStyle w:val="10"/>
        <w:spacing w:before="0" w:line="360" w:lineRule="auto"/>
        <w:ind w:firstLine="640" w:firstLineChars="200"/>
        <w:rPr>
          <w:rFonts w:ascii="楷体" w:eastAsia="楷体" w:cs="仿宋_GB2312"/>
          <w:kern w:val="2"/>
          <w:sz w:val="32"/>
          <w:szCs w:val="32"/>
        </w:rPr>
      </w:pPr>
      <w:r>
        <w:rPr>
          <w:rFonts w:hint="eastAsia" w:ascii="楷体" w:eastAsia="楷体" w:cs="仿宋_GB2312"/>
          <w:kern w:val="2"/>
          <w:sz w:val="32"/>
          <w:szCs w:val="32"/>
        </w:rPr>
        <w:t>（三）国有资产占有使用情况</w:t>
      </w:r>
    </w:p>
    <w:p w14:paraId="0D00BE32">
      <w:pPr>
        <w:pStyle w:val="10"/>
        <w:spacing w:before="0" w:line="360" w:lineRule="auto"/>
        <w:ind w:firstLine="640" w:firstLineChars="200"/>
        <w:rPr>
          <w:rFonts w:cs="仿宋_GB2312"/>
          <w:kern w:val="2"/>
          <w:sz w:val="32"/>
          <w:szCs w:val="32"/>
        </w:rPr>
      </w:pPr>
      <w:r>
        <w:rPr>
          <w:rFonts w:hint="eastAsia" w:cs="仿宋_GB2312"/>
          <w:kern w:val="2"/>
          <w:sz w:val="32"/>
          <w:szCs w:val="32"/>
        </w:rPr>
        <w:t>截至2025年12月31日，我单位固定资产</w:t>
      </w:r>
      <w:r>
        <w:rPr>
          <w:rFonts w:hint="eastAsia" w:cs="仿宋_GB2312"/>
          <w:kern w:val="2"/>
          <w:sz w:val="32"/>
          <w:szCs w:val="32"/>
          <w:lang w:val="en-US" w:eastAsia="zh-CN"/>
        </w:rPr>
        <w:t>799.81</w:t>
      </w:r>
      <w:r>
        <w:rPr>
          <w:rFonts w:hint="eastAsia" w:cs="仿宋_GB2312"/>
          <w:kern w:val="2"/>
          <w:sz w:val="32"/>
          <w:szCs w:val="32"/>
        </w:rPr>
        <w:t>万元。</w:t>
      </w:r>
    </w:p>
    <w:p w14:paraId="16A068DD">
      <w:pPr>
        <w:pStyle w:val="10"/>
        <w:spacing w:before="0" w:line="360" w:lineRule="auto"/>
        <w:ind w:firstLine="640" w:firstLineChars="200"/>
        <w:rPr>
          <w:rFonts w:cs="仿宋_GB2312"/>
          <w:kern w:val="2"/>
          <w:sz w:val="32"/>
          <w:szCs w:val="32"/>
        </w:rPr>
      </w:pPr>
      <w:r>
        <w:rPr>
          <w:rFonts w:hint="eastAsia" w:ascii="楷体" w:eastAsia="楷体" w:cs="仿宋_GB2312"/>
          <w:kern w:val="2"/>
          <w:sz w:val="32"/>
          <w:szCs w:val="32"/>
        </w:rPr>
        <w:t>（四）绩效目标设置情况</w:t>
      </w:r>
      <w:r>
        <w:rPr>
          <w:rFonts w:hint="eastAsia" w:cs="仿宋_GB2312"/>
          <w:kern w:val="2"/>
          <w:sz w:val="32"/>
          <w:szCs w:val="32"/>
        </w:rPr>
        <w:br w:type="textWrapping"/>
      </w:r>
      <w:r>
        <w:rPr>
          <w:rFonts w:hint="eastAsia" w:cs="仿宋_GB2312"/>
          <w:kern w:val="2"/>
          <w:sz w:val="32"/>
          <w:szCs w:val="32"/>
        </w:rPr>
        <w:t>　　2025年部门（单位）通用项目和专用项目均按要求实行绩效目标管理，涉及一般公共预算当年拨款4</w:t>
      </w:r>
      <w:r>
        <w:rPr>
          <w:rFonts w:hint="eastAsia" w:cs="仿宋_GB2312"/>
          <w:kern w:val="2"/>
          <w:sz w:val="32"/>
          <w:szCs w:val="32"/>
          <w:lang w:val="en-US" w:eastAsia="zh-CN"/>
        </w:rPr>
        <w:t>92.74</w:t>
      </w:r>
      <w:r>
        <w:rPr>
          <w:rFonts w:hint="eastAsia" w:cs="仿宋_GB2312"/>
          <w:kern w:val="2"/>
          <w:sz w:val="32"/>
          <w:szCs w:val="32"/>
        </w:rPr>
        <w:t>万元。</w:t>
      </w:r>
    </w:p>
    <w:p w14:paraId="0428970D">
      <w:pPr>
        <w:pStyle w:val="10"/>
        <w:spacing w:before="0" w:line="360" w:lineRule="auto"/>
        <w:ind w:firstLine="640" w:firstLineChars="200"/>
        <w:rPr>
          <w:rFonts w:cs="仿宋_GB2312"/>
          <w:kern w:val="2"/>
          <w:sz w:val="32"/>
          <w:szCs w:val="32"/>
        </w:rPr>
      </w:pPr>
      <w:r>
        <w:rPr>
          <w:rFonts w:hint="eastAsia" w:cs="仿宋_GB2312"/>
          <w:kern w:val="2"/>
          <w:sz w:val="32"/>
          <w:szCs w:val="32"/>
        </w:rPr>
        <w:t>工资性支出项目绩效目标是严格执行相关政策，保障工资及时发放、足额发放，预算编制科学合理，减少结余资金，涉及一般公共预算当年拨款</w:t>
      </w:r>
      <w:r>
        <w:rPr>
          <w:rFonts w:hint="eastAsia" w:cs="仿宋_GB2312"/>
          <w:kern w:val="2"/>
          <w:sz w:val="32"/>
          <w:szCs w:val="32"/>
          <w:lang w:val="en-US" w:eastAsia="zh-CN"/>
        </w:rPr>
        <w:t>211.4</w:t>
      </w:r>
      <w:r>
        <w:rPr>
          <w:rFonts w:hint="eastAsia" w:cs="仿宋_GB2312"/>
          <w:kern w:val="2"/>
          <w:sz w:val="32"/>
          <w:szCs w:val="32"/>
        </w:rPr>
        <w:t>万元。</w:t>
      </w:r>
    </w:p>
    <w:p w14:paraId="624C4C26">
      <w:pPr>
        <w:pStyle w:val="10"/>
        <w:spacing w:before="0" w:line="360" w:lineRule="auto"/>
        <w:ind w:firstLine="640" w:firstLineChars="200"/>
        <w:rPr>
          <w:rFonts w:cs="仿宋_GB2312"/>
          <w:kern w:val="2"/>
          <w:sz w:val="32"/>
          <w:szCs w:val="32"/>
        </w:rPr>
      </w:pPr>
      <w:r>
        <w:rPr>
          <w:rFonts w:hint="eastAsia" w:cs="仿宋_GB2312"/>
          <w:kern w:val="2"/>
          <w:sz w:val="32"/>
          <w:szCs w:val="32"/>
        </w:rPr>
        <w:t>单位缴费项目绩效目标是严格执行相关政策，保障工资及时发放、足额发放，预算编制科学合理，减少结余资金，涉及一般公共预算当年拨款</w:t>
      </w:r>
      <w:r>
        <w:rPr>
          <w:rFonts w:hint="eastAsia" w:cs="仿宋_GB2312"/>
          <w:kern w:val="2"/>
          <w:sz w:val="32"/>
          <w:szCs w:val="32"/>
          <w:lang w:val="en-US" w:eastAsia="zh-CN"/>
        </w:rPr>
        <w:t>97.77</w:t>
      </w:r>
      <w:r>
        <w:rPr>
          <w:rFonts w:hint="eastAsia" w:cs="仿宋_GB2312"/>
          <w:kern w:val="2"/>
          <w:sz w:val="32"/>
          <w:szCs w:val="32"/>
        </w:rPr>
        <w:t>万元。</w:t>
      </w:r>
    </w:p>
    <w:p w14:paraId="1BDD581A">
      <w:pPr>
        <w:pStyle w:val="10"/>
        <w:spacing w:before="0" w:line="360" w:lineRule="auto"/>
        <w:ind w:firstLine="640" w:firstLineChars="200"/>
        <w:rPr>
          <w:rFonts w:cs="仿宋_GB2312"/>
          <w:kern w:val="2"/>
          <w:sz w:val="32"/>
          <w:szCs w:val="32"/>
        </w:rPr>
      </w:pPr>
      <w:r>
        <w:rPr>
          <w:rFonts w:hint="eastAsia" w:cs="仿宋_GB2312"/>
          <w:kern w:val="2"/>
          <w:sz w:val="32"/>
          <w:szCs w:val="32"/>
        </w:rPr>
        <w:t>对个人和家庭的补助支出项目绩效目标是严格执行相关政策，保障工资及时发放、足额发放，预算编制科学合理，减少结余资金，涉及一般公共预算当年拨款</w:t>
      </w:r>
      <w:r>
        <w:rPr>
          <w:rFonts w:hint="eastAsia" w:cs="仿宋_GB2312"/>
          <w:kern w:val="2"/>
          <w:sz w:val="32"/>
          <w:szCs w:val="32"/>
          <w:lang w:val="en-US" w:eastAsia="zh-CN"/>
        </w:rPr>
        <w:t>54.34</w:t>
      </w:r>
      <w:r>
        <w:rPr>
          <w:rFonts w:hint="eastAsia" w:cs="仿宋_GB2312"/>
          <w:kern w:val="2"/>
          <w:sz w:val="32"/>
          <w:szCs w:val="32"/>
        </w:rPr>
        <w:t>万元。</w:t>
      </w:r>
    </w:p>
    <w:p w14:paraId="150DEA62">
      <w:pPr>
        <w:pStyle w:val="10"/>
        <w:spacing w:before="0" w:line="360" w:lineRule="auto"/>
        <w:ind w:firstLine="640" w:firstLineChars="200"/>
        <w:rPr>
          <w:rFonts w:cs="仿宋_GB2312"/>
          <w:kern w:val="2"/>
          <w:sz w:val="32"/>
          <w:szCs w:val="32"/>
        </w:rPr>
      </w:pPr>
      <w:r>
        <w:rPr>
          <w:rFonts w:hint="eastAsia" w:cs="仿宋_GB2312"/>
          <w:kern w:val="2"/>
          <w:sz w:val="32"/>
          <w:szCs w:val="32"/>
        </w:rPr>
        <w:t>定额公用经费项目绩效目标是保障单位日常运转，提高预算编制质量，严格执行预算，涉及一般公共预算当年拨款</w:t>
      </w:r>
      <w:r>
        <w:rPr>
          <w:rFonts w:hint="eastAsia" w:cs="仿宋_GB2312"/>
          <w:kern w:val="2"/>
          <w:sz w:val="32"/>
          <w:szCs w:val="32"/>
          <w:lang w:val="en-US" w:eastAsia="zh-CN"/>
        </w:rPr>
        <w:t>39.13</w:t>
      </w:r>
      <w:r>
        <w:rPr>
          <w:rFonts w:hint="eastAsia" w:cs="仿宋_GB2312"/>
          <w:kern w:val="2"/>
          <w:sz w:val="32"/>
          <w:szCs w:val="32"/>
        </w:rPr>
        <w:t>万元。</w:t>
      </w:r>
    </w:p>
    <w:p w14:paraId="4D8AEAD2">
      <w:pPr>
        <w:pStyle w:val="10"/>
        <w:spacing w:before="0" w:line="360" w:lineRule="auto"/>
        <w:ind w:firstLine="640" w:firstLineChars="200"/>
        <w:rPr>
          <w:rFonts w:ascii="黑体" w:eastAsia="黑体"/>
          <w:sz w:val="32"/>
          <w:szCs w:val="32"/>
        </w:rPr>
      </w:pPr>
      <w:r>
        <w:rPr>
          <w:rFonts w:hint="eastAsia" w:cs="仿宋_GB2312"/>
          <w:kern w:val="2"/>
          <w:sz w:val="32"/>
          <w:szCs w:val="32"/>
        </w:rPr>
        <w:t>特定项目运转类绩效目标是开展</w:t>
      </w:r>
      <w:r>
        <w:rPr>
          <w:rFonts w:hint="eastAsia" w:cs="仿宋_GB2312"/>
          <w:kern w:val="2"/>
          <w:sz w:val="32"/>
          <w:szCs w:val="32"/>
          <w:lang w:eastAsia="zh-CN"/>
        </w:rPr>
        <w:t>影城</w:t>
      </w:r>
      <w:r>
        <w:rPr>
          <w:rFonts w:hint="eastAsia" w:cs="仿宋_GB2312"/>
          <w:kern w:val="2"/>
          <w:sz w:val="32"/>
          <w:szCs w:val="32"/>
        </w:rPr>
        <w:t>、</w:t>
      </w:r>
      <w:r>
        <w:rPr>
          <w:rFonts w:hint="eastAsia" w:cs="仿宋_GB2312"/>
          <w:kern w:val="2"/>
          <w:sz w:val="32"/>
          <w:szCs w:val="32"/>
          <w:lang w:eastAsia="zh-CN"/>
        </w:rPr>
        <w:t>农村数字电影</w:t>
      </w:r>
      <w:r>
        <w:rPr>
          <w:rFonts w:hint="eastAsia" w:cs="仿宋_GB2312"/>
          <w:kern w:val="2"/>
          <w:sz w:val="32"/>
          <w:szCs w:val="32"/>
        </w:rPr>
        <w:t>等工作经费，涉及一般公共预算当年拨款</w:t>
      </w:r>
      <w:r>
        <w:rPr>
          <w:rFonts w:hint="eastAsia" w:cs="仿宋_GB2312"/>
          <w:kern w:val="2"/>
          <w:sz w:val="32"/>
          <w:szCs w:val="32"/>
          <w:lang w:val="en-US" w:eastAsia="zh-CN"/>
        </w:rPr>
        <w:t>90.10</w:t>
      </w:r>
      <w:r>
        <w:rPr>
          <w:rFonts w:hint="eastAsia" w:cs="仿宋_GB2312"/>
          <w:kern w:val="2"/>
          <w:sz w:val="32"/>
          <w:szCs w:val="32"/>
        </w:rPr>
        <w:t>万元。</w:t>
      </w:r>
    </w:p>
    <w:p w14:paraId="143784CA">
      <w:pPr>
        <w:pStyle w:val="10"/>
        <w:spacing w:before="0" w:line="360" w:lineRule="auto"/>
        <w:ind w:firstLine="640" w:firstLineChars="200"/>
        <w:rPr>
          <w:rFonts w:cs="仿宋_GB2312"/>
          <w:kern w:val="2"/>
          <w:sz w:val="32"/>
          <w:szCs w:val="32"/>
        </w:rPr>
      </w:pPr>
      <w:r>
        <w:rPr>
          <w:rFonts w:hint="eastAsia" w:ascii="黑体" w:eastAsia="黑体"/>
          <w:sz w:val="32"/>
          <w:szCs w:val="32"/>
        </w:rPr>
        <w:t xml:space="preserve">十、名称解释 </w:t>
      </w:r>
      <w:r>
        <w:rPr>
          <w:rFonts w:hint="eastAsia" w:cs="仿宋_GB2312"/>
          <w:sz w:val="32"/>
          <w:szCs w:val="32"/>
        </w:rPr>
        <w:br w:type="textWrapping"/>
      </w:r>
      <w:r>
        <w:rPr>
          <w:rFonts w:hint="eastAsia" w:ascii="??" w:hAnsi="??" w:eastAsia="宋体" w:cs="宋体"/>
          <w:sz w:val="16"/>
        </w:rPr>
        <w:t xml:space="preserve">　　   </w:t>
      </w:r>
      <w:r>
        <w:rPr>
          <w:rFonts w:hint="eastAsia" w:ascii="楷体" w:eastAsia="楷体" w:cs="仿宋_GB2312"/>
          <w:kern w:val="2"/>
          <w:sz w:val="32"/>
          <w:szCs w:val="32"/>
        </w:rPr>
        <w:t>（一）财政拨款收入</w:t>
      </w:r>
      <w:r>
        <w:rPr>
          <w:rFonts w:hint="eastAsia" w:cs="仿宋_GB2312"/>
          <w:kern w:val="2"/>
          <w:sz w:val="32"/>
          <w:szCs w:val="32"/>
        </w:rPr>
        <w:t>：指由财政拨款形成的部门收入。按现行管理制度，部门预算中反映的财政拨款仅包括一般公共预算拨款和政府性基金预算拨款。</w:t>
      </w:r>
      <w:r>
        <w:rPr>
          <w:rFonts w:cs="仿宋_GB2312"/>
          <w:kern w:val="2"/>
          <w:sz w:val="32"/>
          <w:szCs w:val="32"/>
        </w:rPr>
        <w:br w:type="textWrapping"/>
      </w:r>
      <w:r>
        <w:rPr>
          <w:rFonts w:hint="eastAsia" w:cs="仿宋_GB2312"/>
          <w:kern w:val="2"/>
          <w:sz w:val="32"/>
          <w:szCs w:val="32"/>
        </w:rPr>
        <w:t>　　</w:t>
      </w:r>
      <w:r>
        <w:rPr>
          <w:rFonts w:hint="eastAsia" w:ascii="楷体" w:eastAsia="楷体" w:cs="仿宋_GB2312"/>
          <w:kern w:val="2"/>
          <w:sz w:val="32"/>
          <w:szCs w:val="32"/>
        </w:rPr>
        <w:t>（二）事业收入</w:t>
      </w:r>
      <w:r>
        <w:rPr>
          <w:rFonts w:hint="eastAsia" w:cs="仿宋_GB2312"/>
          <w:kern w:val="2"/>
          <w:sz w:val="32"/>
          <w:szCs w:val="32"/>
        </w:rPr>
        <w:t>：指所属事业单位开展专业业务活动及辅助活动所取得的收入。</w:t>
      </w:r>
      <w:r>
        <w:rPr>
          <w:rFonts w:cs="仿宋_GB2312"/>
          <w:kern w:val="2"/>
          <w:sz w:val="32"/>
          <w:szCs w:val="32"/>
        </w:rPr>
        <w:br w:type="textWrapping"/>
      </w:r>
      <w:r>
        <w:rPr>
          <w:rFonts w:hint="eastAsia" w:cs="仿宋_GB2312"/>
          <w:kern w:val="2"/>
          <w:sz w:val="32"/>
          <w:szCs w:val="32"/>
        </w:rPr>
        <w:t>　　</w:t>
      </w:r>
      <w:r>
        <w:rPr>
          <w:rFonts w:hint="eastAsia" w:ascii="楷体" w:eastAsia="楷体" w:cs="仿宋_GB2312"/>
          <w:kern w:val="2"/>
          <w:sz w:val="32"/>
          <w:szCs w:val="32"/>
        </w:rPr>
        <w:t>（三）事业单位经营收入</w:t>
      </w:r>
      <w:r>
        <w:rPr>
          <w:rFonts w:hint="eastAsia" w:cs="仿宋_GB2312"/>
          <w:kern w:val="2"/>
          <w:sz w:val="32"/>
          <w:szCs w:val="32"/>
        </w:rPr>
        <w:t>：指所属事业单位在专业业务活动及其辅助活动之外开展非独立核算经营活动取得的收入。</w:t>
      </w:r>
      <w:r>
        <w:rPr>
          <w:rFonts w:cs="仿宋_GB2312"/>
          <w:kern w:val="2"/>
          <w:sz w:val="32"/>
          <w:szCs w:val="32"/>
        </w:rPr>
        <w:br w:type="textWrapping"/>
      </w:r>
      <w:r>
        <w:rPr>
          <w:rFonts w:hint="eastAsia" w:cs="仿宋_GB2312"/>
          <w:kern w:val="2"/>
          <w:sz w:val="32"/>
          <w:szCs w:val="32"/>
        </w:rPr>
        <w:t>　</w:t>
      </w:r>
      <w:r>
        <w:rPr>
          <w:rFonts w:hint="eastAsia" w:ascii="楷体" w:eastAsia="楷体" w:cs="仿宋_GB2312"/>
          <w:kern w:val="2"/>
          <w:sz w:val="32"/>
          <w:szCs w:val="32"/>
        </w:rPr>
        <w:t>　（四）其他收入</w:t>
      </w:r>
      <w:r>
        <w:rPr>
          <w:rFonts w:hint="eastAsia" w:cs="仿宋_GB2312"/>
          <w:kern w:val="2"/>
          <w:sz w:val="32"/>
          <w:szCs w:val="32"/>
        </w:rPr>
        <w:t>：指除上述</w:t>
      </w:r>
      <w:r>
        <w:rPr>
          <w:rFonts w:cs="仿宋_GB2312"/>
          <w:kern w:val="2"/>
          <w:sz w:val="32"/>
          <w:szCs w:val="32"/>
        </w:rPr>
        <w:t>“</w:t>
      </w:r>
      <w:r>
        <w:rPr>
          <w:rFonts w:hint="eastAsia" w:cs="仿宋_GB2312"/>
          <w:kern w:val="2"/>
          <w:sz w:val="32"/>
          <w:szCs w:val="32"/>
        </w:rPr>
        <w:t>财政拨款收入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等以外的收入，主要是所属行政事业单位按规定动用的售房收入、存款利息收入等。</w:t>
      </w:r>
      <w:r>
        <w:rPr>
          <w:rFonts w:cs="仿宋_GB2312"/>
          <w:kern w:val="2"/>
          <w:sz w:val="32"/>
          <w:szCs w:val="32"/>
        </w:rPr>
        <w:br w:type="textWrapping"/>
      </w:r>
      <w:r>
        <w:rPr>
          <w:rFonts w:hint="eastAsia" w:cs="仿宋_GB2312"/>
          <w:kern w:val="2"/>
          <w:sz w:val="32"/>
          <w:szCs w:val="32"/>
        </w:rPr>
        <w:t>　</w:t>
      </w:r>
      <w:r>
        <w:rPr>
          <w:rFonts w:hint="eastAsia" w:ascii="楷体" w:eastAsia="楷体" w:cs="仿宋_GB2312"/>
          <w:kern w:val="2"/>
          <w:sz w:val="32"/>
          <w:szCs w:val="32"/>
        </w:rPr>
        <w:t>　（五）用事业基金弥补收支差额</w:t>
      </w:r>
      <w:r>
        <w:rPr>
          <w:rFonts w:hint="eastAsia" w:cs="仿宋_GB2312"/>
          <w:kern w:val="2"/>
          <w:sz w:val="32"/>
          <w:szCs w:val="32"/>
        </w:rPr>
        <w:t>：指所属事业单位在预计用当年的</w:t>
      </w:r>
      <w:r>
        <w:rPr>
          <w:rFonts w:cs="仿宋_GB2312"/>
          <w:kern w:val="2"/>
          <w:sz w:val="32"/>
          <w:szCs w:val="32"/>
        </w:rPr>
        <w:t>“</w:t>
      </w:r>
      <w:r>
        <w:rPr>
          <w:rFonts w:hint="eastAsia" w:cs="仿宋_GB2312"/>
          <w:kern w:val="2"/>
          <w:sz w:val="32"/>
          <w:szCs w:val="32"/>
        </w:rPr>
        <w:t>财政拨款收入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其他收入</w:t>
      </w:r>
      <w:r>
        <w:rPr>
          <w:rFonts w:cs="仿宋_GB2312"/>
          <w:kern w:val="2"/>
          <w:sz w:val="32"/>
          <w:szCs w:val="32"/>
        </w:rPr>
        <w:t>”</w:t>
      </w:r>
      <w:r>
        <w:rPr>
          <w:rFonts w:hint="eastAsia" w:cs="仿宋_GB2312"/>
          <w:kern w:val="2"/>
          <w:sz w:val="32"/>
          <w:szCs w:val="32"/>
        </w:rPr>
        <w:t>不足以安排当年支出的情况下，使用以前年度积累的事业基金弥补本年度收支缺口的资金。</w:t>
      </w:r>
      <w:r>
        <w:rPr>
          <w:rFonts w:cs="仿宋_GB2312"/>
          <w:kern w:val="2"/>
          <w:sz w:val="32"/>
          <w:szCs w:val="32"/>
        </w:rPr>
        <w:br w:type="textWrapping"/>
      </w:r>
      <w:r>
        <w:rPr>
          <w:rFonts w:hint="eastAsia" w:cs="仿宋_GB2312"/>
          <w:kern w:val="2"/>
          <w:sz w:val="32"/>
          <w:szCs w:val="32"/>
        </w:rPr>
        <w:t>　</w:t>
      </w:r>
      <w:r>
        <w:rPr>
          <w:rFonts w:hint="eastAsia" w:ascii="楷体" w:eastAsia="楷体" w:cs="仿宋_GB2312"/>
          <w:kern w:val="2"/>
          <w:sz w:val="32"/>
          <w:szCs w:val="32"/>
        </w:rPr>
        <w:t>　（六）上年结转</w:t>
      </w:r>
      <w:r>
        <w:rPr>
          <w:rFonts w:hint="eastAsia" w:cs="仿宋_GB2312"/>
          <w:kern w:val="2"/>
          <w:sz w:val="32"/>
          <w:szCs w:val="32"/>
        </w:rPr>
        <w:t>：指所属行政事业单位以前年度尚未完成、结转至本年按原规定用途继续使用的资金和以前年度已完成项目剩余资金经批准用于新用途使用的资金。</w:t>
      </w:r>
    </w:p>
    <w:p w14:paraId="12007097">
      <w:pPr>
        <w:rPr>
          <w:rFonts w:ascii="仿宋_GB2312" w:eastAsia="仿宋_GB2312" w:cs="仿宋_GB2312"/>
          <w:sz w:val="32"/>
          <w:szCs w:val="32"/>
        </w:rPr>
      </w:pPr>
    </w:p>
    <w:sectPr>
      <w:head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altName w:val="国标宋体-超大字符集扩"/>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国标宋体-超大字符集扩"/>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仿宋_GB2312">
    <w:altName w:val="方正仿宋_GBK"/>
    <w:panose1 w:val="02010609030101010101"/>
    <w:charset w:val="86"/>
    <w:family w:val="modern"/>
    <w:pitch w:val="default"/>
    <w:sig w:usb0="00000000" w:usb1="00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楷体">
    <w:altName w:val="方正楷体_GBK"/>
    <w:panose1 w:val="02010609060101010101"/>
    <w:charset w:val="86"/>
    <w:family w:val="modern"/>
    <w:pitch w:val="default"/>
    <w:sig w:usb0="00000000" w:usb1="00000000" w:usb2="00000016" w:usb3="00000000" w:csb0="00040001" w:csb1="00000000"/>
  </w:font>
  <w:font w:name="方正楷体_GBK">
    <w:panose1 w:val="02000000000000000000"/>
    <w:charset w:val="86"/>
    <w:family w:val="auto"/>
    <w:pitch w:val="default"/>
    <w:sig w:usb0="00000001" w:usb1="08000000" w:usb2="00000000" w:usb3="00000000" w:csb0="00040000" w:csb1="00000000"/>
  </w:font>
  <w:font w:name="??">
    <w:altName w:val="C059"/>
    <w:panose1 w:val="00000000000000000000"/>
    <w:charset w:val="00"/>
    <w:family w:val="roman"/>
    <w:pitch w:val="default"/>
    <w:sig w:usb0="00000000" w:usb1="00000000" w:usb2="00000000" w:usb3="00000000" w:csb0="00000001" w:csb1="00000000"/>
  </w:font>
  <w:font w:name="C059">
    <w:panose1 w:val="00000500000000000000"/>
    <w:charset w:val="00"/>
    <w:family w:val="auto"/>
    <w:pitch w:val="default"/>
    <w:sig w:usb0="00000287" w:usb1="00000800" w:usb2="00000000" w:usb3="00000000" w:csb0="6000009F" w:csb1="00000000"/>
  </w:font>
  <w:font w:name="仿宋">
    <w:altName w:val="方正仿宋_GBK"/>
    <w:panose1 w:val="02010609060101010101"/>
    <w:charset w:val="86"/>
    <w:family w:val="auto"/>
    <w:pitch w:val="default"/>
    <w:sig w:usb0="00000000" w:usb1="00000000" w:usb2="00000016" w:usb3="00000000" w:csb0="00040001" w:csb1="00000000"/>
  </w:font>
  <w:font w:name="ˎ̥">
    <w:altName w:val="C059"/>
    <w:panose1 w:val="00000000000000000000"/>
    <w:charset w:val="00"/>
    <w:family w:val="roman"/>
    <w:pitch w:val="default"/>
    <w:sig w:usb0="00000000" w:usb1="00000000" w:usb2="00000000" w:usb3="00000000" w:csb0="00000000"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04315B">
    <w:pPr>
      <w:pStyle w:val="6"/>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3DC4A73"/>
    <w:multiLevelType w:val="singleLevel"/>
    <w:tmpl w:val="33DC4A73"/>
    <w:lvl w:ilvl="0" w:tentative="0">
      <w:start w:val="2"/>
      <w:numFmt w:val="chineseCounting"/>
      <w:suff w:val="nothing"/>
      <w:lvlText w:val="（%1）"/>
      <w:lvlJc w:val="left"/>
      <w:pPr>
        <w:ind w:left="640" w:leftChars="0" w:firstLine="0" w:firstLineChars="0"/>
      </w:pPr>
      <w:rPr>
        <w:rFonts w:hint="eastAsia"/>
      </w:rPr>
    </w:lvl>
  </w:abstractNum>
  <w:abstractNum w:abstractNumId="1">
    <w:nsid w:val="47D03D20"/>
    <w:multiLevelType w:val="multilevel"/>
    <w:tmpl w:val="47D03D20"/>
    <w:lvl w:ilvl="0" w:tentative="0">
      <w:start w:val="2"/>
      <w:numFmt w:val="japaneseCounting"/>
      <w:lvlText w:val="%1、"/>
      <w:lvlJc w:val="left"/>
      <w:pPr>
        <w:tabs>
          <w:tab w:val="left" w:pos="0"/>
        </w:tabs>
        <w:ind w:left="1360" w:hanging="720"/>
      </w:pPr>
      <w:rPr>
        <w:rFonts w:hint="default"/>
      </w:rPr>
    </w:lvl>
    <w:lvl w:ilvl="1" w:tentative="0">
      <w:start w:val="1"/>
      <w:numFmt w:val="lowerLetter"/>
      <w:lvlText w:val="%2)"/>
      <w:lvlJc w:val="left"/>
      <w:pPr>
        <w:tabs>
          <w:tab w:val="left" w:pos="0"/>
        </w:tabs>
        <w:ind w:left="1480" w:hanging="420"/>
      </w:pPr>
    </w:lvl>
    <w:lvl w:ilvl="2" w:tentative="0">
      <w:start w:val="1"/>
      <w:numFmt w:val="lowerRoman"/>
      <w:lvlText w:val="%3."/>
      <w:lvlJc w:val="right"/>
      <w:pPr>
        <w:tabs>
          <w:tab w:val="left" w:pos="0"/>
        </w:tabs>
        <w:ind w:left="1900" w:hanging="420"/>
      </w:pPr>
    </w:lvl>
    <w:lvl w:ilvl="3" w:tentative="0">
      <w:start w:val="1"/>
      <w:numFmt w:val="decimal"/>
      <w:lvlText w:val="%4."/>
      <w:lvlJc w:val="left"/>
      <w:pPr>
        <w:tabs>
          <w:tab w:val="left" w:pos="0"/>
        </w:tabs>
        <w:ind w:left="2320" w:hanging="420"/>
      </w:pPr>
    </w:lvl>
    <w:lvl w:ilvl="4" w:tentative="0">
      <w:start w:val="1"/>
      <w:numFmt w:val="lowerLetter"/>
      <w:lvlText w:val="%5)"/>
      <w:lvlJc w:val="left"/>
      <w:pPr>
        <w:tabs>
          <w:tab w:val="left" w:pos="0"/>
        </w:tabs>
        <w:ind w:left="2740" w:hanging="420"/>
      </w:pPr>
    </w:lvl>
    <w:lvl w:ilvl="5" w:tentative="0">
      <w:start w:val="1"/>
      <w:numFmt w:val="lowerRoman"/>
      <w:lvlText w:val="%6."/>
      <w:lvlJc w:val="right"/>
      <w:pPr>
        <w:tabs>
          <w:tab w:val="left" w:pos="0"/>
        </w:tabs>
        <w:ind w:left="3160" w:hanging="420"/>
      </w:pPr>
    </w:lvl>
    <w:lvl w:ilvl="6" w:tentative="0">
      <w:start w:val="1"/>
      <w:numFmt w:val="decimal"/>
      <w:lvlText w:val="%7."/>
      <w:lvlJc w:val="left"/>
      <w:pPr>
        <w:tabs>
          <w:tab w:val="left" w:pos="0"/>
        </w:tabs>
        <w:ind w:left="3580" w:hanging="420"/>
      </w:pPr>
    </w:lvl>
    <w:lvl w:ilvl="7" w:tentative="0">
      <w:start w:val="1"/>
      <w:numFmt w:val="lowerLetter"/>
      <w:lvlText w:val="%8)"/>
      <w:lvlJc w:val="left"/>
      <w:pPr>
        <w:tabs>
          <w:tab w:val="left" w:pos="0"/>
        </w:tabs>
        <w:ind w:left="4000" w:hanging="420"/>
      </w:pPr>
    </w:lvl>
    <w:lvl w:ilvl="8" w:tentative="0">
      <w:start w:val="1"/>
      <w:numFmt w:val="lowerRoman"/>
      <w:lvlText w:val="%9."/>
      <w:lvlJc w:val="right"/>
      <w:pPr>
        <w:tabs>
          <w:tab w:val="left" w:pos="0"/>
        </w:tabs>
        <w:ind w:left="442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useFELayout/>
    <w:compatSetting w:name="compatibilityMode" w:uri="http://schemas.microsoft.com/office/word" w:val="14"/>
  </w:compat>
  <w:rsids>
    <w:rsidRoot w:val="00000000"/>
    <w:rsid w:val="057D0F2F"/>
    <w:rsid w:val="5FEF3849"/>
    <w:rsid w:val="7FDA9173"/>
    <w:rsid w:val="FFFEE04C"/>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qFormat/>
    <w:uiPriority w:val="0"/>
    <w:pPr>
      <w:keepNext/>
      <w:keepLines/>
      <w:widowControl w:val="0"/>
      <w:spacing w:before="340" w:after="330" w:line="578" w:lineRule="auto"/>
      <w:outlineLvl w:val="0"/>
    </w:pPr>
    <w:rPr>
      <w:b/>
      <w:bCs/>
      <w:kern w:val="44"/>
      <w:sz w:val="44"/>
    </w:rPr>
  </w:style>
  <w:style w:type="paragraph" w:styleId="3">
    <w:name w:val="heading 2"/>
    <w:basedOn w:val="1"/>
    <w:next w:val="1"/>
    <w:qFormat/>
    <w:uiPriority w:val="0"/>
    <w:pPr>
      <w:keepNext/>
      <w:keepLines/>
      <w:widowControl w:val="0"/>
      <w:spacing w:before="260" w:after="260" w:line="415" w:lineRule="auto"/>
      <w:outlineLvl w:val="1"/>
    </w:pPr>
    <w:rPr>
      <w:rFonts w:ascii="Arial" w:hAnsi="Arial" w:eastAsia="黑体"/>
      <w:b/>
      <w:sz w:val="32"/>
    </w:rPr>
  </w:style>
  <w:style w:type="paragraph" w:styleId="4">
    <w:name w:val="heading 3"/>
    <w:basedOn w:val="1"/>
    <w:next w:val="1"/>
    <w:qFormat/>
    <w:uiPriority w:val="0"/>
    <w:pPr>
      <w:keepNext/>
      <w:keepLines/>
      <w:widowControl w:val="0"/>
      <w:spacing w:before="260" w:after="260" w:line="415" w:lineRule="auto"/>
      <w:outlineLvl w:val="2"/>
    </w:pPr>
    <w:rPr>
      <w:b/>
      <w:sz w:val="32"/>
    </w:rPr>
  </w:style>
  <w:style w:type="character" w:default="1" w:styleId="8">
    <w:name w:val="Default Paragraph Font"/>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5">
    <w:name w:val="footer"/>
    <w:basedOn w:val="1"/>
    <w:qFormat/>
    <w:uiPriority w:val="0"/>
    <w:pPr>
      <w:tabs>
        <w:tab w:val="center" w:pos="4153"/>
        <w:tab w:val="right" w:pos="8306"/>
      </w:tabs>
      <w:snapToGrid w:val="0"/>
      <w:jc w:val="left"/>
    </w:pPr>
    <w:rPr>
      <w:sz w:val="18"/>
      <w:szCs w:val="18"/>
    </w:rPr>
  </w:style>
  <w:style w:type="paragraph" w:styleId="6">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9">
    <w:name w:val="List Paragraph"/>
    <w:basedOn w:val="1"/>
    <w:qFormat/>
    <w:uiPriority w:val="0"/>
    <w:pPr>
      <w:ind w:firstLine="200" w:firstLineChars="200"/>
    </w:pPr>
  </w:style>
  <w:style w:type="paragraph" w:customStyle="1" w:styleId="10">
    <w:name w:val="正文文本1"/>
    <w:basedOn w:val="1"/>
    <w:qFormat/>
    <w:uiPriority w:val="0"/>
    <w:pPr>
      <w:spacing w:before="93"/>
    </w:pPr>
    <w:rPr>
      <w:rFonts w:ascii="仿宋_GB2312" w:eastAsia="仿宋_GB2312"/>
      <w:kern w:val="0"/>
      <w:sz w:val="30"/>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Normal.eit</Template>
  <Pages>10</Pages>
  <Words>284</Words>
  <Characters>293</Characters>
  <Lines>124</Lines>
  <Paragraphs>51</Paragraphs>
  <TotalTime>12</TotalTime>
  <ScaleCrop>false</ScaleCrop>
  <LinksUpToDate>false</LinksUpToDate>
  <CharactersWithSpaces>293</CharactersWithSpaces>
  <Application>WPS Office_12.1.2.23578_F1E327BC-269C-435d-A152-05C5408002CA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2022-12-31T09:44:00Z</dcterms:created>
  <dc:creator>疯丫头。。</dc:creator>
  <cp:lastModifiedBy>huawei</cp:lastModifiedBy>
  <cp:lastPrinted>2018-01-31T09:39:00Z</cp:lastPrinted>
  <dcterms:modified xsi:type="dcterms:W3CDTF">2026-02-02T09:55:26Z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2052-12.1.2.23578</vt:lpwstr>
  </property>
  <property fmtid="{D5CDD505-2E9C-101B-9397-08002B2CF9AE}" pid="3" name="KSOTemplateDocerSaveRecord">
    <vt:lpwstr>eyJoZGlkIjoiNDRmYWRiZmQ3ZDYxZTI0MGRiNDhkYTFkYTU1N2EwNDQiLCJ1c2VySWQiOiIxMzgxMzE0NzYzIn0=</vt:lpwstr>
  </property>
  <property fmtid="{D5CDD505-2E9C-101B-9397-08002B2CF9AE}" pid="4" name="ICV">
    <vt:lpwstr>799AA500A991A85977DA7E691E97B82D_43</vt:lpwstr>
  </property>
</Properties>
</file>