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D97E2">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6E2AC31D"/>
    <w:p w14:paraId="47E6D017"/>
    <w:p w14:paraId="613C5377"/>
    <w:p w14:paraId="7CA4F888">
      <w:pPr>
        <w:ind w:firstLine="1050" w:firstLineChars="500"/>
      </w:pPr>
    </w:p>
    <w:p w14:paraId="019EC891">
      <w:pPr>
        <w:ind w:firstLine="1050" w:firstLineChars="500"/>
      </w:pPr>
    </w:p>
    <w:p w14:paraId="66706AF4">
      <w:pPr>
        <w:ind w:firstLine="1760" w:firstLineChars="400"/>
        <w:rPr>
          <w:rFonts w:ascii="黑体" w:eastAsia="黑体"/>
          <w:sz w:val="44"/>
          <w:szCs w:val="44"/>
        </w:rPr>
      </w:pPr>
    </w:p>
    <w:p w14:paraId="29042D6B">
      <w:pPr>
        <w:ind w:firstLine="1760" w:firstLineChars="400"/>
        <w:rPr>
          <w:rFonts w:ascii="黑体" w:eastAsia="黑体"/>
          <w:sz w:val="44"/>
          <w:szCs w:val="44"/>
        </w:rPr>
      </w:pPr>
    </w:p>
    <w:p w14:paraId="692D6ED3">
      <w:pPr>
        <w:ind w:firstLine="2200" w:firstLineChars="500"/>
        <w:rPr>
          <w:rFonts w:ascii="黑体" w:eastAsia="黑体"/>
          <w:sz w:val="44"/>
          <w:szCs w:val="44"/>
        </w:rPr>
      </w:pPr>
      <w:r>
        <w:rPr>
          <w:rFonts w:hint="eastAsia" w:ascii="黑体" w:eastAsia="黑体"/>
          <w:sz w:val="44"/>
          <w:szCs w:val="44"/>
        </w:rPr>
        <w:t>阿坝州电影服务中心</w:t>
      </w:r>
    </w:p>
    <w:p w14:paraId="06A78F4D">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6406D9D2">
      <w:pPr>
        <w:ind w:firstLine="1760" w:firstLineChars="400"/>
        <w:rPr>
          <w:rFonts w:ascii="黑体" w:eastAsia="黑体"/>
          <w:sz w:val="44"/>
          <w:szCs w:val="44"/>
        </w:rPr>
      </w:pPr>
    </w:p>
    <w:p w14:paraId="373A94B7">
      <w:pPr>
        <w:ind w:firstLine="1760" w:firstLineChars="400"/>
        <w:rPr>
          <w:rFonts w:ascii="黑体" w:eastAsia="黑体"/>
          <w:sz w:val="44"/>
          <w:szCs w:val="44"/>
        </w:rPr>
      </w:pPr>
    </w:p>
    <w:p w14:paraId="5AED5561">
      <w:pPr>
        <w:ind w:firstLine="1760" w:firstLineChars="400"/>
        <w:rPr>
          <w:rFonts w:ascii="黑体" w:eastAsia="黑体"/>
          <w:sz w:val="44"/>
          <w:szCs w:val="44"/>
        </w:rPr>
      </w:pPr>
    </w:p>
    <w:p w14:paraId="6C3C6220">
      <w:pPr>
        <w:ind w:firstLine="1760" w:firstLineChars="400"/>
        <w:rPr>
          <w:rFonts w:ascii="黑体" w:eastAsia="黑体"/>
          <w:sz w:val="44"/>
          <w:szCs w:val="44"/>
        </w:rPr>
      </w:pPr>
    </w:p>
    <w:p w14:paraId="44835A6B">
      <w:pPr>
        <w:ind w:firstLine="1760" w:firstLineChars="400"/>
        <w:rPr>
          <w:rFonts w:ascii="黑体" w:eastAsia="黑体"/>
          <w:sz w:val="44"/>
          <w:szCs w:val="44"/>
        </w:rPr>
      </w:pPr>
    </w:p>
    <w:p w14:paraId="0A03A5F5">
      <w:pPr>
        <w:ind w:firstLine="1760" w:firstLineChars="400"/>
        <w:rPr>
          <w:rFonts w:ascii="黑体" w:eastAsia="黑体"/>
          <w:sz w:val="44"/>
          <w:szCs w:val="44"/>
        </w:rPr>
      </w:pPr>
    </w:p>
    <w:p w14:paraId="3DD5BC0B">
      <w:pPr>
        <w:ind w:firstLine="1760" w:firstLineChars="400"/>
        <w:rPr>
          <w:rFonts w:ascii="黑体" w:eastAsia="黑体"/>
          <w:sz w:val="44"/>
          <w:szCs w:val="44"/>
        </w:rPr>
      </w:pPr>
    </w:p>
    <w:p w14:paraId="397CFC7B">
      <w:pPr>
        <w:ind w:firstLine="1760" w:firstLineChars="400"/>
        <w:rPr>
          <w:rFonts w:ascii="黑体" w:eastAsia="黑体"/>
          <w:sz w:val="44"/>
          <w:szCs w:val="44"/>
        </w:rPr>
      </w:pPr>
    </w:p>
    <w:p w14:paraId="6106254D">
      <w:pPr>
        <w:ind w:firstLine="1760" w:firstLineChars="400"/>
        <w:rPr>
          <w:rFonts w:ascii="黑体" w:eastAsia="黑体"/>
          <w:sz w:val="44"/>
          <w:szCs w:val="44"/>
        </w:rPr>
      </w:pPr>
    </w:p>
    <w:p w14:paraId="7C94D0C2">
      <w:pPr>
        <w:ind w:firstLine="1760" w:firstLineChars="400"/>
        <w:rPr>
          <w:rFonts w:ascii="黑体" w:eastAsia="黑体"/>
          <w:sz w:val="44"/>
          <w:szCs w:val="44"/>
        </w:rPr>
      </w:pPr>
    </w:p>
    <w:p w14:paraId="5FFBAC2A">
      <w:pPr>
        <w:ind w:firstLine="1760" w:firstLineChars="400"/>
        <w:rPr>
          <w:rFonts w:ascii="黑体" w:eastAsia="黑体"/>
          <w:sz w:val="44"/>
          <w:szCs w:val="44"/>
        </w:rPr>
      </w:pPr>
    </w:p>
    <w:p w14:paraId="79A390BE">
      <w:pPr>
        <w:ind w:firstLine="1760" w:firstLineChars="400"/>
        <w:rPr>
          <w:rFonts w:ascii="黑体" w:eastAsia="黑体"/>
          <w:sz w:val="44"/>
          <w:szCs w:val="44"/>
        </w:rPr>
      </w:pPr>
    </w:p>
    <w:p w14:paraId="7D459A8A">
      <w:pPr>
        <w:ind w:firstLine="3640" w:firstLineChars="700"/>
        <w:rPr>
          <w:rFonts w:ascii="黑体" w:eastAsia="黑体"/>
          <w:sz w:val="52"/>
          <w:szCs w:val="52"/>
        </w:rPr>
      </w:pPr>
      <w:r>
        <w:rPr>
          <w:rFonts w:hint="eastAsia" w:ascii="黑体" w:eastAsia="黑体"/>
          <w:sz w:val="52"/>
          <w:szCs w:val="52"/>
        </w:rPr>
        <w:t>目录</w:t>
      </w:r>
    </w:p>
    <w:p w14:paraId="2E02B5E2">
      <w:pPr>
        <w:ind w:firstLine="3080" w:firstLineChars="700"/>
        <w:rPr>
          <w:rFonts w:ascii="黑体" w:eastAsia="黑体"/>
          <w:sz w:val="44"/>
          <w:szCs w:val="44"/>
        </w:rPr>
      </w:pPr>
    </w:p>
    <w:p w14:paraId="2B5E99C1">
      <w:pPr>
        <w:pStyle w:val="10"/>
        <w:ind w:firstLine="0" w:firstLineChars="0"/>
        <w:rPr>
          <w:rFonts w:ascii="黑体" w:eastAsia="黑体"/>
          <w:sz w:val="32"/>
          <w:szCs w:val="32"/>
        </w:rPr>
      </w:pPr>
      <w:r>
        <w:rPr>
          <w:rFonts w:hint="eastAsia" w:ascii="黑体" w:eastAsia="黑体"/>
          <w:sz w:val="32"/>
          <w:szCs w:val="32"/>
        </w:rPr>
        <w:t>一、基本职能及主要工作</w:t>
      </w:r>
    </w:p>
    <w:p w14:paraId="16647237">
      <w:pPr>
        <w:rPr>
          <w:rFonts w:ascii="楷体" w:eastAsia="楷体"/>
          <w:sz w:val="32"/>
          <w:szCs w:val="32"/>
        </w:rPr>
      </w:pPr>
      <w:r>
        <w:rPr>
          <w:rFonts w:hint="eastAsia" w:ascii="楷体" w:eastAsia="楷体"/>
          <w:sz w:val="32"/>
          <w:szCs w:val="32"/>
        </w:rPr>
        <w:t>（一）部门职能简介</w:t>
      </w:r>
    </w:p>
    <w:p w14:paraId="67E27DA4">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688FD1D0">
      <w:pPr>
        <w:rPr>
          <w:rFonts w:ascii="黑体" w:eastAsia="黑体"/>
          <w:sz w:val="32"/>
          <w:szCs w:val="32"/>
        </w:rPr>
      </w:pPr>
      <w:r>
        <w:rPr>
          <w:rFonts w:hint="eastAsia" w:ascii="黑体" w:eastAsia="黑体"/>
          <w:sz w:val="32"/>
          <w:szCs w:val="32"/>
        </w:rPr>
        <w:t>二、部门预算单位构成</w:t>
      </w:r>
    </w:p>
    <w:p w14:paraId="7F0B3300">
      <w:pPr>
        <w:rPr>
          <w:rFonts w:ascii="黑体" w:eastAsia="黑体"/>
          <w:sz w:val="32"/>
          <w:szCs w:val="32"/>
        </w:rPr>
      </w:pPr>
      <w:r>
        <w:rPr>
          <w:rFonts w:hint="eastAsia" w:ascii="黑体" w:eastAsia="黑体"/>
          <w:sz w:val="32"/>
          <w:szCs w:val="32"/>
        </w:rPr>
        <w:t>三、收支预算情况说明</w:t>
      </w:r>
    </w:p>
    <w:p w14:paraId="298BFF12">
      <w:pPr>
        <w:rPr>
          <w:rFonts w:ascii="楷体" w:eastAsia="楷体"/>
          <w:sz w:val="32"/>
          <w:szCs w:val="32"/>
        </w:rPr>
      </w:pPr>
      <w:r>
        <w:rPr>
          <w:rFonts w:hint="eastAsia" w:ascii="楷体" w:eastAsia="楷体"/>
          <w:sz w:val="32"/>
          <w:szCs w:val="32"/>
        </w:rPr>
        <w:t>（一）收入预算情况</w:t>
      </w:r>
    </w:p>
    <w:p w14:paraId="2E3B18EB">
      <w:pPr>
        <w:rPr>
          <w:rFonts w:ascii="楷体" w:eastAsia="楷体"/>
          <w:sz w:val="32"/>
          <w:szCs w:val="32"/>
        </w:rPr>
      </w:pPr>
      <w:r>
        <w:rPr>
          <w:rFonts w:hint="eastAsia" w:ascii="楷体" w:eastAsia="楷体"/>
          <w:sz w:val="32"/>
          <w:szCs w:val="32"/>
        </w:rPr>
        <w:t>（二）支出预算情况</w:t>
      </w:r>
    </w:p>
    <w:p w14:paraId="25BCF6D1">
      <w:pPr>
        <w:rPr>
          <w:rFonts w:ascii="黑体" w:eastAsia="黑体"/>
          <w:sz w:val="32"/>
          <w:szCs w:val="32"/>
        </w:rPr>
      </w:pPr>
      <w:r>
        <w:rPr>
          <w:rFonts w:hint="eastAsia" w:ascii="黑体" w:eastAsia="黑体"/>
          <w:sz w:val="32"/>
          <w:szCs w:val="32"/>
        </w:rPr>
        <w:t>四、财政拨款收支预算情况说明</w:t>
      </w:r>
    </w:p>
    <w:p w14:paraId="450F5686">
      <w:pPr>
        <w:rPr>
          <w:rFonts w:ascii="黑体" w:eastAsia="黑体"/>
          <w:sz w:val="32"/>
          <w:szCs w:val="32"/>
        </w:rPr>
      </w:pPr>
      <w:r>
        <w:rPr>
          <w:rFonts w:hint="eastAsia" w:ascii="黑体" w:eastAsia="黑体"/>
          <w:sz w:val="32"/>
          <w:szCs w:val="32"/>
        </w:rPr>
        <w:t>五、一般公共预算当年拨款情况说明</w:t>
      </w:r>
    </w:p>
    <w:p w14:paraId="52AA526B">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044D8480">
      <w:pPr>
        <w:rPr>
          <w:rFonts w:ascii="黑体" w:eastAsia="黑体"/>
          <w:sz w:val="32"/>
          <w:szCs w:val="32"/>
        </w:rPr>
      </w:pPr>
    </w:p>
    <w:p w14:paraId="4004B977">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39AFB66">
      <w:pPr>
        <w:pStyle w:val="10"/>
        <w:ind w:firstLine="640"/>
        <w:rPr>
          <w:rFonts w:ascii="黑体" w:eastAsia="黑体"/>
          <w:sz w:val="32"/>
          <w:szCs w:val="32"/>
        </w:rPr>
      </w:pPr>
      <w:r>
        <w:rPr>
          <w:rFonts w:hint="eastAsia" w:ascii="黑体" w:eastAsia="黑体"/>
          <w:sz w:val="32"/>
          <w:szCs w:val="32"/>
        </w:rPr>
        <w:t>一、基本职能及主要工作</w:t>
      </w:r>
    </w:p>
    <w:p w14:paraId="3B649F47">
      <w:pPr>
        <w:ind w:firstLine="640" w:firstLineChars="200"/>
        <w:rPr>
          <w:rFonts w:ascii="楷体" w:eastAsia="楷体"/>
          <w:sz w:val="32"/>
          <w:szCs w:val="32"/>
        </w:rPr>
      </w:pPr>
      <w:r>
        <w:rPr>
          <w:rFonts w:hint="eastAsia" w:ascii="楷体" w:eastAsia="楷体"/>
          <w:sz w:val="32"/>
          <w:szCs w:val="32"/>
        </w:rPr>
        <w:t>（一）部门职能简介</w:t>
      </w:r>
    </w:p>
    <w:p w14:paraId="125BD97E">
      <w:pPr>
        <w:spacing w:line="576" w:lineRule="exact"/>
        <w:ind w:firstLine="640" w:firstLineChars="200"/>
        <w:contextualSpacing/>
        <w:rPr>
          <w:rFonts w:ascii="仿宋_GB2312" w:hAnsi="仿宋" w:eastAsia="仿宋_GB2312" w:cs="仿宋"/>
          <w:color w:val="000000"/>
          <w:sz w:val="32"/>
          <w:szCs w:val="32"/>
        </w:rPr>
      </w:pPr>
      <w:r>
        <w:rPr>
          <w:rFonts w:hint="eastAsia" w:ascii="仿宋_GB2312" w:hAnsi="仿宋_GB2312" w:eastAsia="仿宋_GB2312" w:cs="仿宋_GB2312"/>
          <w:sz w:val="32"/>
          <w:szCs w:val="32"/>
        </w:rPr>
        <w:t>我单位现为中共阿坝州委宣传部直属的具有独立法人资格的差额拨款公益性二类正科级事业机构。其职责</w:t>
      </w:r>
      <w:r>
        <w:rPr>
          <w:rFonts w:hint="eastAsia" w:ascii="仿宋_GB2312" w:hAnsi="仿宋" w:eastAsia="仿宋_GB2312" w:cs="仿宋"/>
          <w:color w:val="000000"/>
          <w:sz w:val="32"/>
          <w:szCs w:val="32"/>
        </w:rPr>
        <w:t>繁荣文化市场，丰富人民群众文化生活；负责全州农村公益电影放映工程的节目下载、影片发行、放映督查、设备巡检、技术指导、业务培训、数据统计上报等工作。协助主管部门指导城市影院建设、经营管理等业务工作；积极开展宣传党的路线、方针、政策放映工作，充分利用农村公益电影放映工作守牢涉藏地区宣传文化意识形态阵地；负责马尔康太平洋电影城经营管理；积极完成州委、州政府及主管部门交办的其他任务。</w:t>
      </w:r>
    </w:p>
    <w:p w14:paraId="0AB7D737">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47859EB2">
      <w:pPr>
        <w:spacing w:line="576" w:lineRule="exact"/>
        <w:ind w:firstLine="640" w:firstLineChars="200"/>
        <w:rPr>
          <w:rFonts w:ascii="仿宋_GB2312" w:eastAsia="仿宋_GB2312"/>
          <w:color w:val="000000" w:themeColor="text1"/>
          <w:sz w:val="32"/>
        </w:rPr>
      </w:pPr>
      <w:r>
        <w:rPr>
          <w:rFonts w:hint="eastAsia" w:ascii="仿宋_GB2312" w:hAnsi="Times New Roman" w:eastAsia="仿宋_GB2312"/>
          <w:bCs/>
          <w:color w:val="000000" w:themeColor="text1"/>
          <w:sz w:val="32"/>
          <w:szCs w:val="32"/>
        </w:rPr>
        <w:t>一是强化党建引领，夯实发展根基</w:t>
      </w:r>
      <w:r>
        <w:rPr>
          <w:rFonts w:hint="eastAsia" w:ascii="仿宋_GB2312" w:hAnsi="Times New Roman" w:eastAsia="仿宋_GB2312"/>
          <w:b/>
          <w:bCs/>
          <w:color w:val="000000" w:themeColor="text1"/>
          <w:sz w:val="32"/>
          <w:szCs w:val="32"/>
        </w:rPr>
        <w:t>。</w:t>
      </w:r>
      <w:r>
        <w:rPr>
          <w:rFonts w:hint="eastAsia" w:ascii="仿宋_GB2312" w:hAnsi="Times New Roman" w:eastAsia="仿宋_GB2312"/>
          <w:color w:val="000000" w:themeColor="text1"/>
          <w:sz w:val="32"/>
          <w:szCs w:val="32"/>
        </w:rPr>
        <w:t>始终将党建工作置于统领全局的关键地位，紧密参照全州党建工作会议所锚定的精神坐标，精细谋划、精准落实党建重点任务。深度聚焦党员干部群体，全面铺开学习教育与管理工作，通过多元化学习形式与丰富教育活动，推动理论武装入脑入心。二是</w:t>
      </w:r>
      <w:r>
        <w:rPr>
          <w:rFonts w:hint="eastAsia" w:ascii="仿宋_GB2312" w:hAnsi="Times New Roman" w:eastAsia="仿宋_GB2312"/>
          <w:color w:val="000000" w:themeColor="text1"/>
          <w:sz w:val="32"/>
        </w:rPr>
        <w:t>主动投身基层一线调研，调研团队将下沉城乡各处，深入挖掘电影放映工作的一手资料，精准捕捉群众诉求与基层工作的痛点、堵点，为后续决策部署输送详实依据，确保各项工作有的放矢、精准发力。三是</w:t>
      </w:r>
      <w:r>
        <w:rPr>
          <w:rFonts w:hint="eastAsia" w:ascii="仿宋_GB2312" w:hAnsi="Times New Roman" w:eastAsia="仿宋_GB2312"/>
          <w:color w:val="000000" w:themeColor="text1"/>
          <w:sz w:val="32"/>
          <w:szCs w:val="32"/>
        </w:rPr>
        <w:t>精心组织全州电影放映员，举办系统性的电影工作培训班，聚焦政策解读、行业前瞻、规范管理、主题放映以及放映监管这五大板块知识体系，展开深度授课与实操演练。四是</w:t>
      </w:r>
      <w:r>
        <w:rPr>
          <w:rFonts w:hint="eastAsia" w:ascii="仿宋_GB2312" w:hAnsi="Times New Roman" w:eastAsia="仿宋_GB2312"/>
          <w:color w:val="000000" w:themeColor="text1"/>
          <w:sz w:val="32"/>
        </w:rPr>
        <w:t>紧握电影独有的艺术魅力与感染力这一有力抓手，巧妙融合党课、主题党日等教育场景，紧扣 “乡村振兴”“民族团结融合” 等时代热题，匠心策划并开展一系列主题放映活动。压实安全主体责任，五是毫不松懈地抓紧、抓实、抓细电影放映安全工作各项举措，牢牢扛起安全生产主体责任，将安全意识融入影城日常运营的每一处细节。</w:t>
      </w:r>
    </w:p>
    <w:p w14:paraId="4D22C6CF">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7FAE453A">
      <w:pPr>
        <w:pStyle w:val="5"/>
        <w:spacing w:line="576" w:lineRule="exact"/>
        <w:ind w:firstLine="632" w:firstLineChars="200"/>
        <w:contextualSpacing/>
        <w:rPr>
          <w:rFonts w:ascii="仿宋_GB2312" w:hAnsi="仿宋" w:cs="宋体"/>
          <w:szCs w:val="32"/>
        </w:rPr>
      </w:pPr>
      <w:r>
        <w:rPr>
          <w:rFonts w:hint="eastAsia" w:ascii="仿宋_GB2312" w:hAnsi="仿宋" w:cs="宋体"/>
          <w:szCs w:val="32"/>
        </w:rPr>
        <w:t>阿坝藏族羌族自治州电影服务中心（原阿坝藏族羌族自治州电影发行放映公司）成立于1959年1月，1998年11月，经州政府第八次常务会确定为差额补贴事业单位，2014年1月，经全州事业单位分类改革确定为公益二类事业单位，将原“阿坝藏族羌族自治州电影发行放映公司”更名为“阿坝藏族羌族自治州电影服务中心”，2019年6月，经机构改革调整，划归州委宣传部管理。</w:t>
      </w:r>
    </w:p>
    <w:p w14:paraId="7D2E5A13">
      <w:pPr>
        <w:pStyle w:val="5"/>
        <w:spacing w:line="576" w:lineRule="exact"/>
        <w:ind w:firstLine="632" w:firstLineChars="200"/>
        <w:contextualSpacing/>
        <w:rPr>
          <w:rFonts w:ascii="仿宋_GB2312" w:hAnsi="仿宋"/>
        </w:rPr>
      </w:pPr>
      <w:r>
        <w:rPr>
          <w:rFonts w:hint="eastAsia" w:ascii="仿宋_GB2312" w:hAnsi="仿宋" w:cs="宋体"/>
          <w:szCs w:val="32"/>
        </w:rPr>
        <w:t xml:space="preserve">内设机构：2室、1中心、1院，即：办公室、财务室、农村数字电影中心、马尔康太平洋电影城。 </w:t>
      </w:r>
    </w:p>
    <w:p w14:paraId="45D6DF61">
      <w:pPr>
        <w:pStyle w:val="10"/>
        <w:ind w:left="0" w:leftChars="0" w:firstLine="640" w:firstLineChars="200"/>
        <w:rPr>
          <w:rFonts w:ascii="黑体" w:eastAsia="黑体"/>
          <w:sz w:val="32"/>
          <w:szCs w:val="32"/>
        </w:rPr>
      </w:pPr>
      <w:r>
        <w:rPr>
          <w:rFonts w:hint="eastAsia" w:ascii="黑体" w:eastAsia="黑体"/>
          <w:sz w:val="32"/>
          <w:szCs w:val="32"/>
        </w:rPr>
        <w:t>三、收支预算情况说明</w:t>
      </w:r>
    </w:p>
    <w:p w14:paraId="1E3441CD">
      <w:pPr>
        <w:ind w:firstLine="640" w:firstLineChars="200"/>
        <w:rPr>
          <w:rFonts w:ascii="楷体" w:eastAsia="楷体"/>
          <w:sz w:val="32"/>
          <w:szCs w:val="32"/>
        </w:rPr>
      </w:pPr>
      <w:r>
        <w:rPr>
          <w:rFonts w:hint="eastAsia" w:ascii="楷体" w:eastAsia="楷体"/>
          <w:sz w:val="32"/>
          <w:szCs w:val="32"/>
        </w:rPr>
        <w:t>（一）收入预算情况</w:t>
      </w:r>
    </w:p>
    <w:p w14:paraId="078E0574">
      <w:pPr>
        <w:ind w:firstLine="640" w:firstLineChars="200"/>
        <w:jc w:val="left"/>
        <w:rPr>
          <w:rFonts w:ascii="仿宋_GB2312" w:eastAsia="仿宋_GB2312" w:cs="仿宋_GB2312"/>
          <w:sz w:val="32"/>
          <w:szCs w:val="32"/>
        </w:rPr>
      </w:pPr>
      <w:r>
        <w:rPr>
          <w:rFonts w:hint="eastAsia" w:ascii="仿宋_GB2312" w:eastAsia="仿宋_GB2312"/>
          <w:sz w:val="32"/>
          <w:szCs w:val="32"/>
        </w:rPr>
        <w:t>阿坝州</w:t>
      </w:r>
      <w:r>
        <w:rPr>
          <w:rFonts w:hint="eastAsia" w:hAnsi="仿宋" w:cs="黑体"/>
          <w:spacing w:val="-2"/>
          <w:sz w:val="32"/>
        </w:rPr>
        <w:t>电影服中心2025年收入预算477.55万元。</w:t>
      </w:r>
    </w:p>
    <w:p w14:paraId="52B2670B">
      <w:pPr>
        <w:ind w:firstLine="640" w:firstLineChars="200"/>
        <w:rPr>
          <w:rFonts w:ascii="楷体" w:eastAsia="楷体"/>
          <w:sz w:val="32"/>
          <w:szCs w:val="32"/>
        </w:rPr>
      </w:pPr>
    </w:p>
    <w:p w14:paraId="6C52D54F">
      <w:pPr>
        <w:ind w:firstLine="630"/>
        <w:jc w:val="left"/>
        <w:rPr>
          <w:rFonts w:ascii="楷体" w:eastAsia="楷体" w:cs="仿宋_GB2312"/>
          <w:sz w:val="32"/>
          <w:szCs w:val="32"/>
        </w:rPr>
      </w:pPr>
      <w:r>
        <w:rPr>
          <w:rFonts w:hint="eastAsia" w:ascii="楷体" w:eastAsia="楷体" w:cs="仿宋_GB2312"/>
          <w:sz w:val="32"/>
          <w:szCs w:val="32"/>
        </w:rPr>
        <w:t>（二）支出预算情况</w:t>
      </w:r>
    </w:p>
    <w:p w14:paraId="1D24725C">
      <w:pPr>
        <w:pStyle w:val="11"/>
        <w:spacing w:before="0" w:line="360" w:lineRule="auto"/>
        <w:ind w:firstLine="632" w:firstLineChars="200"/>
        <w:rPr>
          <w:rFonts w:ascii="楷体" w:eastAsia="楷体"/>
          <w:sz w:val="32"/>
          <w:szCs w:val="32"/>
        </w:rPr>
      </w:pPr>
      <w:r>
        <w:rPr>
          <w:rFonts w:hint="eastAsia" w:hAnsi="仿宋" w:cs="黑体"/>
          <w:spacing w:val="-2"/>
          <w:kern w:val="2"/>
          <w:sz w:val="32"/>
          <w:szCs w:val="22"/>
        </w:rPr>
        <w:t>州电影服务中心</w:t>
      </w:r>
      <w:r>
        <w:rPr>
          <w:rFonts w:hint="eastAsia" w:hAnsi="仿宋" w:cs="黑体"/>
          <w:spacing w:val="-2"/>
          <w:sz w:val="32"/>
        </w:rPr>
        <w:t>2025</w:t>
      </w:r>
      <w:r>
        <w:rPr>
          <w:rFonts w:hint="eastAsia" w:hAnsi="仿宋" w:cs="黑体"/>
          <w:spacing w:val="-2"/>
          <w:kern w:val="2"/>
          <w:sz w:val="32"/>
          <w:szCs w:val="22"/>
        </w:rPr>
        <w:t>年支出预算</w:t>
      </w:r>
      <w:r>
        <w:rPr>
          <w:rFonts w:hint="eastAsia" w:hAnsi="仿宋" w:cs="黑体"/>
          <w:spacing w:val="-2"/>
          <w:sz w:val="32"/>
        </w:rPr>
        <w:t>477.55</w:t>
      </w:r>
      <w:r>
        <w:rPr>
          <w:rFonts w:hint="eastAsia" w:hAnsi="仿宋" w:cs="黑体"/>
          <w:spacing w:val="-2"/>
          <w:kern w:val="2"/>
          <w:sz w:val="32"/>
          <w:szCs w:val="22"/>
        </w:rPr>
        <w:t>万元，其中：</w:t>
      </w:r>
      <w:r>
        <w:rPr>
          <w:rFonts w:hint="eastAsia" w:hAnsi="仿宋" w:cs="黑体"/>
          <w:spacing w:val="-2"/>
          <w:kern w:val="2"/>
          <w:sz w:val="32"/>
          <w:szCs w:val="32"/>
        </w:rPr>
        <w:t>文化旅游体育与传媒支出</w:t>
      </w:r>
      <w:r>
        <w:rPr>
          <w:rFonts w:hint="eastAsia" w:cs="宋体"/>
          <w:sz w:val="32"/>
          <w:szCs w:val="32"/>
        </w:rPr>
        <w:t>382.2万元，占80%；社会保障和就业支出44.28万元，占9.28%；医疗卫生与计划生育支出</w:t>
      </w:r>
      <w:r>
        <w:rPr>
          <w:rFonts w:cs="宋体"/>
          <w:sz w:val="32"/>
          <w:szCs w:val="32"/>
        </w:rPr>
        <w:t>2</w:t>
      </w:r>
      <w:r>
        <w:rPr>
          <w:rFonts w:hint="eastAsia" w:cs="宋体"/>
          <w:sz w:val="32"/>
          <w:szCs w:val="32"/>
        </w:rPr>
        <w:t>3.67万元，占5%；住房保障支出27.4万元，占5.72%。</w:t>
      </w:r>
    </w:p>
    <w:p w14:paraId="08EAB0F4">
      <w:pPr>
        <w:pStyle w:val="11"/>
        <w:numPr>
          <w:numId w:val="0"/>
        </w:numPr>
        <w:spacing w:before="0" w:line="360" w:lineRule="auto"/>
        <w:ind w:left="640" w:leftChars="0"/>
        <w:rPr>
          <w:rFonts w:hint="eastAsia" w:ascii="黑体" w:hAnsi="Calibri"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四、</w:t>
      </w:r>
      <w:r>
        <w:rPr>
          <w:rFonts w:hint="eastAsia" w:ascii="黑体" w:hAnsi="Calibri" w:eastAsia="黑体" w:cs="Times New Roman"/>
          <w:kern w:val="2"/>
          <w:sz w:val="32"/>
          <w:szCs w:val="32"/>
          <w:lang w:val="en-US" w:eastAsia="zh-CN" w:bidi="ar-SA"/>
        </w:rPr>
        <w:t>财政拨款收支预算情况说明</w:t>
      </w:r>
    </w:p>
    <w:p w14:paraId="66B8FA3C">
      <w:pPr>
        <w:pStyle w:val="11"/>
        <w:numPr>
          <w:numId w:val="0"/>
        </w:numPr>
        <w:spacing w:before="0" w:line="360" w:lineRule="auto"/>
        <w:rPr>
          <w:rFonts w:hint="eastAsia" w:hAnsi="仿宋" w:cs="黑体"/>
          <w:spacing w:val="-2"/>
          <w:kern w:val="2"/>
          <w:sz w:val="32"/>
          <w:szCs w:val="32"/>
        </w:rPr>
      </w:pPr>
      <w:r>
        <w:rPr>
          <w:rFonts w:hint="eastAsia" w:hAnsi="仿宋" w:cs="黑体"/>
          <w:spacing w:val="-2"/>
          <w:kern w:val="2"/>
          <w:sz w:val="32"/>
          <w:szCs w:val="32"/>
          <w:lang w:val="en-US" w:eastAsia="zh-CN"/>
        </w:rPr>
        <w:t xml:space="preserve">    部</w:t>
      </w:r>
      <w:r>
        <w:rPr>
          <w:rFonts w:hint="eastAsia" w:hAnsi="仿宋" w:cs="黑体"/>
          <w:spacing w:val="-2"/>
          <w:kern w:val="2"/>
          <w:sz w:val="32"/>
          <w:szCs w:val="32"/>
        </w:rPr>
        <w:t>门（单位）2025年财政拨款收支总预算477.55万元,比2024年财政拨款收支总预算减少69.45万元，主要原因:减少专项项目经费。在职人员退休2人，减少人员经费。</w:t>
      </w:r>
    </w:p>
    <w:p w14:paraId="091C41C4">
      <w:pPr>
        <w:pStyle w:val="11"/>
        <w:spacing w:before="0" w:line="360" w:lineRule="auto"/>
        <w:ind w:firstLine="632" w:firstLineChars="200"/>
        <w:rPr>
          <w:rFonts w:hint="eastAsia" w:hAnsi="仿宋" w:cs="黑体"/>
          <w:spacing w:val="-2"/>
          <w:kern w:val="2"/>
          <w:sz w:val="32"/>
          <w:szCs w:val="32"/>
        </w:rPr>
      </w:pPr>
      <w:r>
        <w:rPr>
          <w:rFonts w:hint="eastAsia" w:hAnsi="仿宋" w:cs="黑体"/>
          <w:spacing w:val="-2"/>
          <w:kern w:val="2"/>
          <w:sz w:val="32"/>
          <w:szCs w:val="32"/>
        </w:rPr>
        <w:t>收入包括：本年一般公共预算拨款收入477.55万元。</w:t>
      </w:r>
    </w:p>
    <w:p w14:paraId="26552F4F">
      <w:pPr>
        <w:pStyle w:val="11"/>
        <w:spacing w:before="0" w:line="360" w:lineRule="auto"/>
        <w:ind w:firstLine="632" w:firstLineChars="200"/>
        <w:rPr>
          <w:rFonts w:hint="eastAsia" w:hAnsi="仿宋" w:cs="黑体"/>
          <w:spacing w:val="-2"/>
          <w:kern w:val="2"/>
          <w:sz w:val="32"/>
          <w:szCs w:val="32"/>
        </w:rPr>
      </w:pPr>
      <w:r>
        <w:rPr>
          <w:rFonts w:hint="eastAsia" w:hAnsi="仿宋" w:cs="黑体"/>
          <w:spacing w:val="-2"/>
          <w:kern w:val="2"/>
          <w:sz w:val="32"/>
          <w:szCs w:val="32"/>
        </w:rPr>
        <w:t>支出包括：</w:t>
      </w:r>
      <w:r>
        <w:rPr>
          <w:rFonts w:hint="eastAsia" w:hAnsi="仿宋" w:cs="黑体"/>
          <w:spacing w:val="-2"/>
          <w:kern w:val="2"/>
          <w:sz w:val="32"/>
          <w:szCs w:val="32"/>
        </w:rPr>
        <w:t>文化旅游体育与传媒支出382.2</w:t>
      </w:r>
      <w:r>
        <w:rPr>
          <w:rFonts w:hint="eastAsia" w:hAnsi="仿宋" w:cs="黑体"/>
          <w:spacing w:val="-2"/>
          <w:kern w:val="2"/>
          <w:sz w:val="32"/>
          <w:szCs w:val="32"/>
        </w:rPr>
        <w:t>万元，社会保障和就业支出44.28</w:t>
      </w:r>
      <w:r>
        <w:rPr>
          <w:rFonts w:hint="eastAsia" w:hAnsi="仿宋" w:cs="黑体"/>
          <w:spacing w:val="-2"/>
          <w:kern w:val="2"/>
          <w:sz w:val="32"/>
          <w:szCs w:val="32"/>
        </w:rPr>
        <w:t>万元，医疗卫生与计划生育支出23.67</w:t>
      </w:r>
      <w:r>
        <w:rPr>
          <w:rFonts w:hint="eastAsia" w:hAnsi="仿宋" w:cs="黑体"/>
          <w:spacing w:val="-2"/>
          <w:kern w:val="2"/>
          <w:sz w:val="32"/>
          <w:szCs w:val="32"/>
        </w:rPr>
        <w:t>万元，住房保障支出27.4</w:t>
      </w:r>
      <w:r>
        <w:rPr>
          <w:rFonts w:hint="eastAsia" w:hAnsi="仿宋" w:cs="黑体"/>
          <w:spacing w:val="-2"/>
          <w:kern w:val="2"/>
          <w:sz w:val="32"/>
          <w:szCs w:val="32"/>
        </w:rPr>
        <w:t xml:space="preserve">万元。 </w:t>
      </w:r>
    </w:p>
    <w:p w14:paraId="245C313B">
      <w:pPr>
        <w:ind w:firstLine="640" w:firstLineChars="200"/>
        <w:rPr>
          <w:rFonts w:ascii="黑体" w:eastAsia="黑体"/>
          <w:sz w:val="32"/>
          <w:szCs w:val="32"/>
        </w:rPr>
      </w:pPr>
      <w:r>
        <w:rPr>
          <w:rFonts w:hint="eastAsia" w:ascii="黑体" w:eastAsia="黑体"/>
          <w:sz w:val="32"/>
          <w:szCs w:val="32"/>
        </w:rPr>
        <w:t>五、一般公共预算当年拨款情况说明</w:t>
      </w:r>
    </w:p>
    <w:p w14:paraId="548E7290">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61FD7154">
      <w:pPr>
        <w:ind w:firstLine="640" w:firstLineChars="200"/>
        <w:rPr>
          <w:rFonts w:cs="仿宋_GB2312"/>
          <w:kern w:val="2"/>
          <w:sz w:val="32"/>
          <w:szCs w:val="32"/>
        </w:rPr>
      </w:pPr>
      <w:r>
        <w:rPr>
          <w:rFonts w:hint="eastAsia" w:cs="仿宋_GB2312"/>
          <w:sz w:val="32"/>
          <w:szCs w:val="32"/>
        </w:rPr>
        <w:t>部门（单位）</w:t>
      </w:r>
      <w:r>
        <w:rPr>
          <w:rFonts w:hint="eastAsia" w:cs="宋体"/>
          <w:sz w:val="32"/>
          <w:szCs w:val="32"/>
        </w:rPr>
        <w:t>2025年一般公共预算当年拨款477.55万元，比2024年预算数</w:t>
      </w:r>
      <w:r>
        <w:rPr>
          <w:rFonts w:hint="eastAsia"/>
          <w:sz w:val="32"/>
          <w:szCs w:val="32"/>
        </w:rPr>
        <w:t>减少</w:t>
      </w:r>
      <w:r>
        <w:rPr>
          <w:rFonts w:hint="eastAsia" w:cs="宋体"/>
          <w:sz w:val="32"/>
          <w:szCs w:val="32"/>
        </w:rPr>
        <w:t>69.45万元，主要原因:</w:t>
      </w:r>
      <w:r>
        <w:rPr>
          <w:rFonts w:hint="eastAsia" w:ascii="仿宋_GB2312" w:eastAsia="仿宋_GB2312"/>
          <w:sz w:val="32"/>
          <w:szCs w:val="32"/>
        </w:rPr>
        <w:t xml:space="preserve"> 减少专项项目经费。在职人员退休2人，减少人员经费。</w:t>
      </w:r>
    </w:p>
    <w:p w14:paraId="0E0B234C">
      <w:pPr>
        <w:pStyle w:val="11"/>
        <w:numPr>
          <w:ilvl w:val="0"/>
          <w:numId w:val="2"/>
        </w:numPr>
        <w:spacing w:before="0" w:line="360" w:lineRule="auto"/>
        <w:ind w:left="638" w:leftChars="304" w:firstLine="0" w:firstLineChars="0"/>
        <w:jc w:val="left"/>
        <w:rPr>
          <w:rFonts w:hint="eastAsia" w:ascii="Calibri" w:hAnsi="Calibri" w:eastAsia="宋体" w:cs="宋体"/>
          <w:kern w:val="2"/>
          <w:sz w:val="32"/>
          <w:szCs w:val="32"/>
          <w:lang w:val="en-US" w:eastAsia="zh-CN" w:bidi="ar-SA"/>
        </w:rPr>
      </w:pPr>
      <w:r>
        <w:rPr>
          <w:rFonts w:hint="eastAsia" w:ascii="楷体" w:eastAsia="楷体" w:cs="宋体"/>
          <w:sz w:val="32"/>
          <w:szCs w:val="32"/>
        </w:rPr>
        <w:t>一般公共预算当年拨款结构情况</w:t>
      </w:r>
    </w:p>
    <w:p w14:paraId="4493650A">
      <w:pPr>
        <w:pStyle w:val="11"/>
        <w:numPr>
          <w:numId w:val="0"/>
        </w:numPr>
        <w:spacing w:before="0" w:line="360" w:lineRule="auto"/>
        <w:ind w:firstLine="320" w:firstLineChars="100"/>
        <w:jc w:val="left"/>
        <w:rPr>
          <w:rFonts w:hint="eastAsia" w:ascii="Calibri" w:hAnsi="Calibri" w:eastAsia="宋体" w:cs="宋体"/>
          <w:kern w:val="2"/>
          <w:sz w:val="32"/>
          <w:szCs w:val="32"/>
          <w:lang w:val="en-US" w:eastAsia="zh-CN" w:bidi="ar-SA"/>
        </w:rPr>
      </w:pPr>
      <w:r>
        <w:rPr>
          <w:rFonts w:hint="eastAsia" w:cs="宋体"/>
          <w:sz w:val="32"/>
          <w:szCs w:val="32"/>
          <w:lang w:val="en-US" w:eastAsia="zh-CN"/>
        </w:rPr>
        <w:t xml:space="preserve">    </w:t>
      </w:r>
      <w:r>
        <w:rPr>
          <w:rFonts w:hint="eastAsia" w:ascii="Calibri" w:hAnsi="Calibri" w:eastAsia="宋体" w:cs="宋体"/>
          <w:kern w:val="2"/>
          <w:sz w:val="32"/>
          <w:szCs w:val="32"/>
          <w:lang w:val="en-US" w:eastAsia="zh-CN" w:bidi="ar-SA"/>
        </w:rPr>
        <w:t>一般公共服务支出477.55万元，占100%；文化旅游体育与传媒支出382.2万元，占80%；社会保障和就业支出44.28万元，占9.28%；医疗卫生与计划生育支出23.67万元，占5%；住房保障支出27.4万元，占5.72%。</w:t>
      </w:r>
    </w:p>
    <w:p w14:paraId="7CDE37B5">
      <w:pPr>
        <w:pStyle w:val="11"/>
        <w:numPr>
          <w:numId w:val="0"/>
        </w:numPr>
        <w:spacing w:before="0" w:line="360" w:lineRule="auto"/>
        <w:ind w:leftChars="304"/>
        <w:jc w:val="left"/>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E27F807">
      <w:pPr>
        <w:pStyle w:val="11"/>
        <w:spacing w:before="0" w:line="576" w:lineRule="exact"/>
        <w:ind w:firstLine="640" w:firstLineChars="200"/>
        <w:contextualSpacing/>
        <w:rPr>
          <w:rFonts w:hAnsi="仿宋" w:cs="黑体"/>
          <w:spacing w:val="-2"/>
          <w:kern w:val="2"/>
          <w:sz w:val="32"/>
          <w:szCs w:val="22"/>
        </w:rPr>
      </w:pPr>
      <w:r>
        <w:rPr>
          <w:rFonts w:hint="eastAsia" w:hAnsi="仿宋" w:cs="宋体"/>
          <w:sz w:val="32"/>
          <w:szCs w:val="32"/>
        </w:rPr>
        <w:t>1．社会保障和就业支出（类）行政事业单位离退休（款）机关事业单位基本养老保险缴费支出（项）、机关事业单位职业年金缴费支出（项）2025年预算支出为44.28万元主要用于:职工缴纳基本养老保险和职工职业年金。</w:t>
      </w:r>
    </w:p>
    <w:p w14:paraId="04E54135">
      <w:pPr>
        <w:pStyle w:val="11"/>
        <w:spacing w:line="576" w:lineRule="exact"/>
        <w:ind w:firstLine="640" w:firstLineChars="200"/>
        <w:contextualSpacing/>
        <w:rPr>
          <w:rFonts w:hAnsi="仿宋" w:cs="宋体"/>
          <w:sz w:val="32"/>
          <w:szCs w:val="32"/>
        </w:rPr>
      </w:pPr>
      <w:r>
        <w:rPr>
          <w:rFonts w:hint="eastAsia" w:hAnsi="仿宋" w:cs="宋体"/>
          <w:sz w:val="32"/>
          <w:szCs w:val="32"/>
        </w:rPr>
        <w:t>2．卫生健康支出（类）行政事业单位医疗（款）行政单位医疗（项）2025年预算基本支出为23.67万元，主要用于：职工基本医疗保险。</w:t>
      </w:r>
    </w:p>
    <w:p w14:paraId="5E1AB047">
      <w:pPr>
        <w:pStyle w:val="11"/>
        <w:spacing w:line="576" w:lineRule="exact"/>
        <w:ind w:firstLine="640" w:firstLineChars="200"/>
        <w:contextualSpacing/>
        <w:rPr>
          <w:rFonts w:hAnsi="仿宋" w:cs="宋体"/>
          <w:sz w:val="32"/>
          <w:szCs w:val="32"/>
        </w:rPr>
      </w:pPr>
      <w:r>
        <w:rPr>
          <w:rFonts w:hint="eastAsia" w:hAnsi="仿宋" w:cs="宋体"/>
          <w:sz w:val="32"/>
          <w:szCs w:val="32"/>
        </w:rPr>
        <w:t>3．文化旅游体育与传媒支出为</w:t>
      </w:r>
      <w:r>
        <w:rPr>
          <w:rFonts w:hint="eastAsia" w:cs="宋体"/>
          <w:sz w:val="32"/>
          <w:szCs w:val="32"/>
        </w:rPr>
        <w:t>382.2</w:t>
      </w:r>
      <w:r>
        <w:rPr>
          <w:rFonts w:hint="eastAsia" w:hAnsi="仿宋" w:cs="宋体"/>
          <w:sz w:val="32"/>
          <w:szCs w:val="32"/>
        </w:rPr>
        <w:t>万元，主要用于：职工基本工资、单位正常运转支出。</w:t>
      </w:r>
    </w:p>
    <w:p w14:paraId="21EC1E98">
      <w:pPr>
        <w:pStyle w:val="11"/>
        <w:spacing w:before="0" w:line="576" w:lineRule="exact"/>
        <w:ind w:firstLine="640" w:firstLineChars="200"/>
        <w:contextualSpacing/>
        <w:rPr>
          <w:rFonts w:hAnsi="仿宋" w:cs="宋体"/>
          <w:b/>
          <w:bCs/>
          <w:sz w:val="32"/>
          <w:szCs w:val="32"/>
        </w:rPr>
      </w:pPr>
      <w:r>
        <w:rPr>
          <w:rFonts w:hint="eastAsia" w:hAnsi="仿宋" w:cs="宋体"/>
          <w:sz w:val="32"/>
          <w:szCs w:val="32"/>
        </w:rPr>
        <w:t>4．住房保障支出（类）住房改革支出(款)住房公积金（项）2024年预算基本支出为</w:t>
      </w:r>
      <w:r>
        <w:rPr>
          <w:rFonts w:hint="eastAsia" w:cs="宋体"/>
          <w:sz w:val="32"/>
          <w:szCs w:val="32"/>
        </w:rPr>
        <w:t>27.4</w:t>
      </w:r>
      <w:r>
        <w:rPr>
          <w:rFonts w:hint="eastAsia" w:hAnsi="仿宋" w:cs="宋体"/>
          <w:sz w:val="32"/>
          <w:szCs w:val="32"/>
        </w:rPr>
        <w:t>万元，主要用于：职工缴纳住房公积金。</w:t>
      </w:r>
    </w:p>
    <w:p w14:paraId="686D8059">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3A4E1755">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部门（单位）2025年一般公共预算基本支出373.29万元，其中：人员经费334.79万元，主要包括：基本工资55.85万元、津贴补贴28.13万元、奖金46.49万元、其他社会保障缴费8.93万元、</w:t>
      </w:r>
      <w:r>
        <w:rPr>
          <w:rFonts w:hint="eastAsia" w:hAnsi="仿宋" w:cs="黑体"/>
          <w:spacing w:val="-2"/>
          <w:kern w:val="2"/>
          <w:sz w:val="32"/>
          <w:szCs w:val="22"/>
        </w:rPr>
        <w:t>职工基本医疗保险16.31万元、</w:t>
      </w:r>
      <w:r>
        <w:rPr>
          <w:rFonts w:hint="eastAsia" w:cs="仿宋_GB2312"/>
          <w:kern w:val="2"/>
          <w:sz w:val="32"/>
          <w:szCs w:val="32"/>
        </w:rPr>
        <w:t>绩效工资49.95万元、机关事业单位基本养老保险缴费29.52万元、职业年金缴费14.76万元、住房公积金27.4万元、其他对个人和家庭的补助支出56.32万元、离退休人员公用经费1.13万元。</w:t>
      </w:r>
    </w:p>
    <w:p w14:paraId="3D40433A">
      <w:pPr>
        <w:pStyle w:val="11"/>
        <w:spacing w:before="0" w:line="360" w:lineRule="auto"/>
        <w:ind w:firstLine="640" w:firstLineChars="200"/>
        <w:rPr>
          <w:rFonts w:ascii="黑体" w:eastAsia="黑体"/>
          <w:sz w:val="32"/>
          <w:szCs w:val="32"/>
        </w:rPr>
      </w:pPr>
      <w:r>
        <w:rPr>
          <w:rFonts w:hint="eastAsia" w:cs="仿宋_GB2312"/>
          <w:kern w:val="2"/>
          <w:sz w:val="32"/>
          <w:szCs w:val="32"/>
        </w:rPr>
        <w:t>公用经费38.5万元，主要包括：办公费1.04万元、</w:t>
      </w:r>
      <w:r>
        <w:rPr>
          <w:rFonts w:hint="eastAsia" w:hAnsi="仿宋" w:cs="黑体"/>
          <w:spacing w:val="-2"/>
          <w:kern w:val="2"/>
          <w:sz w:val="32"/>
          <w:szCs w:val="22"/>
        </w:rPr>
        <w:t>印刷费0.00万元、咨询费0.00万元、手续费0.00万元、</w:t>
      </w:r>
      <w:r>
        <w:rPr>
          <w:rFonts w:hint="eastAsia" w:cs="仿宋_GB2312"/>
          <w:kern w:val="2"/>
          <w:sz w:val="32"/>
          <w:szCs w:val="32"/>
        </w:rPr>
        <w:t>水费0.39万元、电费0.52万元、</w:t>
      </w:r>
      <w:r>
        <w:rPr>
          <w:rFonts w:hint="eastAsia" w:hAnsi="仿宋" w:cs="黑体"/>
          <w:spacing w:val="-2"/>
          <w:kern w:val="2"/>
          <w:sz w:val="32"/>
          <w:szCs w:val="22"/>
        </w:rPr>
        <w:t>物业管理费0.00万元、</w:t>
      </w:r>
      <w:r>
        <w:rPr>
          <w:rFonts w:hint="eastAsia" w:cs="仿宋_GB2312"/>
          <w:kern w:val="2"/>
          <w:sz w:val="32"/>
          <w:szCs w:val="32"/>
        </w:rPr>
        <w:t>邮电费2.89万元、差旅费5.7万元、</w:t>
      </w:r>
      <w:r>
        <w:rPr>
          <w:rFonts w:hint="eastAsia" w:hAnsi="仿宋" w:cs="黑体"/>
          <w:spacing w:val="-2"/>
          <w:kern w:val="2"/>
          <w:sz w:val="32"/>
          <w:szCs w:val="22"/>
        </w:rPr>
        <w:t>因公出国费0.00万元、维修（护）费0.76万元、租赁费0.00万元、会议费0.00万元、</w:t>
      </w:r>
      <w:r>
        <w:rPr>
          <w:rFonts w:hint="eastAsia" w:cs="仿宋_GB2312"/>
          <w:kern w:val="2"/>
          <w:sz w:val="32"/>
          <w:szCs w:val="32"/>
        </w:rPr>
        <w:t>培训费2.43万元、</w:t>
      </w:r>
      <w:r>
        <w:rPr>
          <w:rFonts w:hint="eastAsia" w:hAnsi="仿宋" w:cs="黑体"/>
          <w:spacing w:val="-2"/>
          <w:kern w:val="2"/>
          <w:sz w:val="32"/>
          <w:szCs w:val="22"/>
        </w:rPr>
        <w:t>公务接待费0.45万元、公务用车运行维护费5.04万元、</w:t>
      </w:r>
      <w:r>
        <w:rPr>
          <w:rFonts w:hint="eastAsia" w:cs="仿宋_GB2312"/>
          <w:kern w:val="2"/>
          <w:sz w:val="32"/>
          <w:szCs w:val="32"/>
        </w:rPr>
        <w:t>福利费13.56万元、其他商品和服务支出5.72万元。</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4696353D">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部门（单位）2025年“三公”经费财政拨款预算数5.49万元，其中：因公出国（境）经费0万元，公务接待费0.45万元，公务用车购置及运行维护费5.04万元。</w:t>
      </w:r>
    </w:p>
    <w:p w14:paraId="70066A2F">
      <w:pPr>
        <w:pStyle w:val="11"/>
        <w:spacing w:before="0" w:line="360" w:lineRule="auto"/>
        <w:ind w:firstLine="640" w:firstLineChars="200"/>
        <w:rPr>
          <w:rFonts w:cs="仿宋_GB2312"/>
          <w:kern w:val="2"/>
          <w:sz w:val="32"/>
          <w:szCs w:val="32"/>
        </w:rPr>
      </w:pPr>
      <w:r>
        <w:rPr>
          <w:rFonts w:hint="eastAsia" w:cs="仿宋_GB2312"/>
          <w:kern w:val="2"/>
          <w:sz w:val="32"/>
          <w:szCs w:val="32"/>
        </w:rPr>
        <w:t>（一）2025年因公出国（境）经费0万元。</w:t>
      </w:r>
    </w:p>
    <w:p w14:paraId="32CB5239">
      <w:pPr>
        <w:pStyle w:val="11"/>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2025年公务接待经费0.45万元。较2024年预算经费</w:t>
      </w:r>
      <w:r>
        <w:rPr>
          <w:rFonts w:hint="eastAsia" w:cs="宋体"/>
          <w:sz w:val="32"/>
          <w:szCs w:val="32"/>
        </w:rPr>
        <w:t>减少</w:t>
      </w:r>
      <w:r>
        <w:rPr>
          <w:rFonts w:hint="eastAsia" w:cs="仿宋_GB2312"/>
          <w:color w:val="000000"/>
          <w:kern w:val="2"/>
          <w:sz w:val="32"/>
          <w:szCs w:val="32"/>
        </w:rPr>
        <w:t>0.06万元。</w:t>
      </w:r>
    </w:p>
    <w:p w14:paraId="4694C5BE">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（三）2025年公务用车购置及运行维护费5.04万元。较2024年预算经费减少5.04万元，主要原因报废一辆车减少一辆车的经费。</w:t>
      </w:r>
    </w:p>
    <w:p w14:paraId="7C5200F9">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4DAA31F5">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部门（单位）2025年政府性基金预算拨款安排的支出0万元。较2024年预算经费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rPr>
        <w:t>0万元，增长0%。</w:t>
      </w:r>
    </w:p>
    <w:p w14:paraId="320178B8">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96E2E2A">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部门（单位）2025年机关运行经费财政拨款预算为0万元，比2024年预算</w:t>
      </w:r>
      <w:r>
        <w:rPr>
          <w:rFonts w:hint="eastAsia" w:cs="宋体"/>
          <w:sz w:val="32"/>
          <w:szCs w:val="32"/>
        </w:rPr>
        <w:t>增加/</w:t>
      </w:r>
      <w:r>
        <w:rPr>
          <w:rFonts w:hint="eastAsia" w:cs="仿宋_GB2312"/>
          <w:color w:val="000000"/>
          <w:kern w:val="2"/>
          <w:sz w:val="32"/>
          <w:szCs w:val="32"/>
        </w:rPr>
        <w:t xml:space="preserve">减少0万元，减少0%。 </w:t>
      </w:r>
    </w:p>
    <w:p w14:paraId="42E3B52C">
      <w:pPr>
        <w:pStyle w:val="11"/>
        <w:spacing w:before="0" w:line="360" w:lineRule="auto"/>
        <w:ind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部门（单位）</w:t>
      </w:r>
      <w:r>
        <w:rPr>
          <w:rFonts w:hint="eastAsia" w:cs="仿宋_GB2312"/>
          <w:color w:val="000000"/>
          <w:kern w:val="2"/>
          <w:sz w:val="32"/>
          <w:szCs w:val="32"/>
        </w:rPr>
        <w:t>安排政府采购预算0万元</w:t>
      </w:r>
    </w:p>
    <w:p w14:paraId="07082F86">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3D6401F6">
      <w:pPr>
        <w:pStyle w:val="11"/>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截至2024年12月31日，我单位固定资产792.86万元。</w:t>
      </w:r>
    </w:p>
    <w:p w14:paraId="16A068DD">
      <w:pPr>
        <w:pStyle w:val="11"/>
        <w:spacing w:before="0" w:line="360" w:lineRule="auto"/>
        <w:ind w:firstLine="640" w:firstLineChars="200"/>
        <w:rPr>
          <w:rFonts w:cs="仿宋_GB2312"/>
          <w:kern w:val="2"/>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2025年部门（单位）通用项目和专用项目均按要求实行绩效目标管理，涉及一般公共预算当年拨款477.55万元。</w:t>
      </w:r>
    </w:p>
    <w:p w14:paraId="0428970D">
      <w:pPr>
        <w:pStyle w:val="11"/>
        <w:spacing w:before="0" w:line="360" w:lineRule="auto"/>
        <w:ind w:firstLine="640" w:firstLineChars="200"/>
        <w:rPr>
          <w:rFonts w:cs="仿宋_GB2312"/>
          <w:kern w:val="2"/>
          <w:sz w:val="32"/>
          <w:szCs w:val="32"/>
        </w:rPr>
      </w:pPr>
      <w:r>
        <w:rPr>
          <w:rFonts w:hint="eastAsia" w:cs="仿宋_GB2312"/>
          <w:kern w:val="2"/>
          <w:sz w:val="32"/>
          <w:szCs w:val="32"/>
        </w:rPr>
        <w:t>工资性支出项目绩效目标是严格执行相关政策，保障工资及时发放、足额发放，预算编制科学合理，减少结余资金，涉及一般公共预算当年拨款180.42万元。</w:t>
      </w:r>
    </w:p>
    <w:p w14:paraId="624C4C26">
      <w:pPr>
        <w:pStyle w:val="11"/>
        <w:spacing w:before="0" w:line="360" w:lineRule="auto"/>
        <w:ind w:firstLine="640" w:firstLineChars="200"/>
        <w:rPr>
          <w:rFonts w:cs="仿宋_GB2312"/>
          <w:kern w:val="2"/>
          <w:sz w:val="32"/>
          <w:szCs w:val="32"/>
        </w:rPr>
      </w:pPr>
      <w:r>
        <w:rPr>
          <w:rFonts w:hint="eastAsia" w:cs="仿宋_GB2312"/>
          <w:kern w:val="2"/>
          <w:sz w:val="32"/>
          <w:szCs w:val="32"/>
        </w:rPr>
        <w:t>单位缴费项目绩效目标是严格执行相关政策，保障工资及时发放、足额发放，预算编制科学合理，减少结余资金，涉及一般公共预算当年拨款96.93万元。</w:t>
      </w:r>
    </w:p>
    <w:p w14:paraId="1BDD581A">
      <w:pPr>
        <w:pStyle w:val="11"/>
        <w:spacing w:before="0" w:line="360" w:lineRule="auto"/>
        <w:ind w:firstLine="640" w:firstLineChars="200"/>
        <w:rPr>
          <w:rFonts w:cs="仿宋_GB2312"/>
          <w:kern w:val="2"/>
          <w:sz w:val="32"/>
          <w:szCs w:val="32"/>
        </w:rPr>
      </w:pPr>
      <w:r>
        <w:rPr>
          <w:rFonts w:hint="eastAsia" w:cs="仿宋_GB2312"/>
          <w:kern w:val="2"/>
          <w:sz w:val="32"/>
          <w:szCs w:val="32"/>
        </w:rPr>
        <w:t>对个人和家庭的补助支出项目绩效目标是严格执行相关政策，保障工资及时发放、足额发放，预算编制科学合理，减少结余资金，涉及一般公共预算当年拨款57.45万元。</w:t>
      </w:r>
    </w:p>
    <w:p w14:paraId="150DEA62">
      <w:pPr>
        <w:pStyle w:val="11"/>
        <w:spacing w:before="0" w:line="360" w:lineRule="auto"/>
        <w:ind w:firstLine="640" w:firstLineChars="200"/>
        <w:rPr>
          <w:rFonts w:cs="仿宋_GB2312"/>
          <w:kern w:val="2"/>
          <w:sz w:val="32"/>
          <w:szCs w:val="32"/>
        </w:rPr>
      </w:pPr>
      <w:r>
        <w:rPr>
          <w:rFonts w:hint="eastAsia" w:cs="仿宋_GB2312"/>
          <w:kern w:val="2"/>
          <w:sz w:val="32"/>
          <w:szCs w:val="32"/>
        </w:rPr>
        <w:t>定额公用经费项目绩效目标是保障单位日常运转，提高预算编制质量，严格执行预算，涉及一般公共预算当年拨款38.5万元。</w:t>
      </w:r>
    </w:p>
    <w:p w14:paraId="4D8AEAD2">
      <w:pPr>
        <w:pStyle w:val="11"/>
        <w:spacing w:before="0" w:line="360" w:lineRule="auto"/>
        <w:ind w:firstLine="640" w:firstLineChars="200"/>
        <w:rPr>
          <w:rFonts w:ascii="黑体" w:eastAsia="黑体"/>
          <w:sz w:val="32"/>
          <w:szCs w:val="32"/>
        </w:rPr>
      </w:pPr>
      <w:r>
        <w:rPr>
          <w:rFonts w:hint="eastAsia" w:cs="仿宋_GB2312"/>
          <w:kern w:val="2"/>
          <w:sz w:val="32"/>
          <w:szCs w:val="32"/>
        </w:rPr>
        <w:t>特定项目运转类绩效目标是开展基层理论宣讲、图书、微宣讲平台服务等工作经费，涉及一般公共预算当年拨款104.25万元。</w:t>
      </w:r>
      <w:bookmarkStart w:id="0" w:name="_GoBack"/>
      <w:bookmarkEnd w:id="0"/>
    </w:p>
    <w:p w14:paraId="24F00537">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1CFF36E">
      <w:pPr>
        <w:rPr>
          <w:rFonts w:ascii="仿宋_GB2312" w:eastAsia="仿宋_GB2312" w:cs="仿宋_GB2312"/>
          <w:sz w:val="32"/>
          <w:szCs w:val="32"/>
        </w:rPr>
      </w:pPr>
    </w:p>
    <w:sectPr>
      <w:headerReference r:id="rId3" w:type="default"/>
      <w:pgSz w:w="11906" w:h="16838"/>
      <w:pgMar w:top="1440" w:right="1797" w:bottom="1440" w:left="1797" w:header="851" w:footer="992" w:gutter="0"/>
      <w:cols w:space="720" w:num="1"/>
      <w:docGrid w:type="linesAndChars" w:linePitch="34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72F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21C43"/>
    <w:multiLevelType w:val="singleLevel"/>
    <w:tmpl w:val="D3921C43"/>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74"/>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D36D71"/>
    <w:rsid w:val="00013694"/>
    <w:rsid w:val="00215046"/>
    <w:rsid w:val="002F4CD8"/>
    <w:rsid w:val="003603B3"/>
    <w:rsid w:val="00364E33"/>
    <w:rsid w:val="00392386"/>
    <w:rsid w:val="003A0F43"/>
    <w:rsid w:val="00425326"/>
    <w:rsid w:val="00476E3B"/>
    <w:rsid w:val="00526BEF"/>
    <w:rsid w:val="006A0BCD"/>
    <w:rsid w:val="006D3DDC"/>
    <w:rsid w:val="00743FC2"/>
    <w:rsid w:val="008624A8"/>
    <w:rsid w:val="00894BBF"/>
    <w:rsid w:val="009154B7"/>
    <w:rsid w:val="009508D4"/>
    <w:rsid w:val="00B06F85"/>
    <w:rsid w:val="00BE7FD5"/>
    <w:rsid w:val="00C937EA"/>
    <w:rsid w:val="00CD1666"/>
    <w:rsid w:val="00D36D71"/>
    <w:rsid w:val="00DA26E5"/>
    <w:rsid w:val="00F15FDA"/>
    <w:rsid w:val="00F45CEB"/>
    <w:rsid w:val="00F56597"/>
    <w:rsid w:val="00F671C3"/>
    <w:rsid w:val="4F8F2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2"/>
    <w:unhideWhenUsed/>
    <w:qFormat/>
    <w:uiPriority w:val="0"/>
    <w:pPr>
      <w:autoSpaceDE w:val="0"/>
      <w:autoSpaceDN w:val="0"/>
      <w:adjustRightInd w:val="0"/>
      <w:snapToGrid w:val="0"/>
      <w:spacing w:line="588" w:lineRule="atLeast"/>
    </w:pPr>
    <w:rPr>
      <w:rFonts w:ascii="宋体" w:hAnsi="宋体" w:eastAsia="仿宋_GB2312" w:cs="黑体"/>
      <w:spacing w:val="-2"/>
      <w:sz w:val="32"/>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character" w:customStyle="1" w:styleId="12">
    <w:name w:val="正文文本 Char"/>
    <w:basedOn w:val="9"/>
    <w:link w:val="5"/>
    <w:uiPriority w:val="0"/>
    <w:rPr>
      <w:rFonts w:ascii="宋体" w:hAnsi="宋体" w:eastAsia="仿宋_GB2312" w:cs="黑体"/>
      <w:spacing w:val="-2"/>
      <w:kern w:val="2"/>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10B8E55-BCEE-4EB2-92FD-F1C82971DCCE}">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3402</Words>
  <Characters>3780</Characters>
  <Lines>27</Lines>
  <Paragraphs>7</Paragraphs>
  <TotalTime>409</TotalTime>
  <ScaleCrop>false</ScaleCrop>
  <LinksUpToDate>false</LinksUpToDate>
  <CharactersWithSpaces>3815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ㅗ ㄹ</cp:lastModifiedBy>
  <cp:lastPrinted>2018-01-30T09:39:00Z</cp:lastPrinted>
  <dcterms:modified xsi:type="dcterms:W3CDTF">2025-02-25T08:10:32Z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eyJoZGlkIjoiYzI1YzFjOWY1NDI0YmU0MzBjNGQzNTA0NTFkMDVlMWIiLCJ1c2VySWQiOiI0ODAzODYyNjEifQ==</vt:lpwstr>
  </property>
  <property fmtid="{D5CDD505-2E9C-101B-9397-08002B2CF9AE}" pid="4" name="ICV">
    <vt:lpwstr>F5EC22422ACE4B5F8D8CB69CA72D645A_12</vt:lpwstr>
  </property>
</Properties>
</file>