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>
  <w:body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2020年安全生产重大隐患州级挂牌督办清单</w:t>
      </w:r>
    </w:p>
    <w:p>
      <w:pPr>
        <w:spacing w:line="220" w:lineRule="exact"/>
        <w:jc w:val="center"/>
        <w:rPr>
          <w:rFonts w:ascii="方正小标宋_GBK" w:eastAsia="方正小标宋_GBK"/>
          <w:sz w:val="44"/>
          <w:szCs w:val="44"/>
        </w:rPr>
      </w:pPr>
    </w:p>
    <w:tbl>
      <w:tblPr>
        <w:jc w:val="center"/>
        <w:tblW w:w="13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703"/>
        <w:gridCol w:w="1772"/>
        <w:gridCol w:w="2997"/>
        <w:gridCol w:w="1984"/>
        <w:gridCol w:w="1985"/>
        <w:gridCol w:w="1701"/>
        <w:gridCol w:w="877"/>
      </w:tblGrid>
      <w:tr>
        <w:tc>
          <w:tcPr>
            <w:tcW w:w="708" w:type="dxa"/>
          </w:tcPr>
          <w:p>
            <w:pPr>
              <w:spacing w:line="48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序号</w:t>
            </w:r>
          </w:p>
        </w:tc>
        <w:tc>
          <w:tcPr>
            <w:tcW w:w="1703" w:type="dxa"/>
          </w:tcPr>
          <w:p>
            <w:pPr>
              <w:spacing w:line="48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单位名称</w:t>
            </w:r>
          </w:p>
        </w:tc>
        <w:tc>
          <w:tcPr>
            <w:tcW w:w="1772" w:type="dxa"/>
          </w:tcPr>
          <w:p>
            <w:pPr>
              <w:spacing w:line="48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隐患地址</w:t>
            </w:r>
          </w:p>
        </w:tc>
        <w:tc>
          <w:tcPr>
            <w:tcW w:w="2997" w:type="dxa"/>
          </w:tcPr>
          <w:p>
            <w:pPr>
              <w:spacing w:line="48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隐患内容</w:t>
            </w:r>
          </w:p>
        </w:tc>
        <w:tc>
          <w:tcPr>
            <w:tcW w:w="1984" w:type="dxa"/>
          </w:tcPr>
          <w:p>
            <w:pPr>
              <w:spacing w:line="48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整改时限</w:t>
            </w:r>
          </w:p>
        </w:tc>
        <w:tc>
          <w:tcPr>
            <w:tcW w:w="1985" w:type="dxa"/>
          </w:tcPr>
          <w:p>
            <w:pPr>
              <w:spacing w:line="48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责任单位</w:t>
            </w:r>
          </w:p>
        </w:tc>
        <w:tc>
          <w:tcPr>
            <w:tcW w:w="1701" w:type="dxa"/>
          </w:tcPr>
          <w:p>
            <w:pPr>
              <w:spacing w:line="48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州级督办部门</w:t>
            </w:r>
          </w:p>
        </w:tc>
        <w:tc>
          <w:tcPr>
            <w:tcW w:w="877" w:type="dxa"/>
          </w:tcPr>
          <w:p>
            <w:pPr>
              <w:spacing w:line="48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备注</w:t>
            </w:r>
          </w:p>
        </w:tc>
      </w:tr>
      <w:tr>
        <w:trPr>
          <w:trHeight w:val="3467"/>
        </w:trPr>
        <w:tc>
          <w:tcPr>
            <w:tcW w:w="708" w:type="dxa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</w:p>
        </w:tc>
        <w:tc>
          <w:tcPr>
            <w:tcW w:w="1703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四川长化宏光盐化工有限公司</w:t>
            </w:r>
          </w:p>
        </w:tc>
        <w:tc>
          <w:tcPr>
            <w:tcW w:w="1772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理县下孟</w:t>
            </w:r>
          </w:p>
          <w:p>
            <w:pPr>
              <w:spacing w:line="4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工业园区</w:t>
            </w:r>
          </w:p>
        </w:tc>
        <w:tc>
          <w:tcPr>
            <w:tcW w:w="2997" w:type="dxa"/>
            <w:vAlign w:val="center"/>
          </w:tcPr>
          <w:p>
            <w:pPr>
              <w:spacing w:line="300" w:lineRule="exact"/>
              <w:rPr>
                <w:rFonts w:eastAsia="仿宋_GB2312"/>
              </w:rPr>
            </w:pPr>
            <w:r>
              <w:rPr>
                <w:rFonts w:eastAsia="仿宋_GB2312"/>
              </w:rPr>
              <w:t>1.氯酸钠电解添加盐水、稀酸、氮气还采用手动操作调节，自动化程度低，安全隐患较大，需</w:t>
            </w:r>
            <w:r>
              <w:t>釆</w:t>
            </w:r>
            <w:r>
              <w:rPr>
                <w:rFonts w:eastAsia="仿宋_GB2312"/>
              </w:rPr>
              <w:t>用PLC集中自动控制，减少员工操作波动，有效遏制生产安全事故发生；</w:t>
            </w:r>
          </w:p>
          <w:p>
            <w:pPr>
              <w:spacing w:line="300" w:lineRule="exact"/>
              <w:rPr>
                <w:rFonts w:eastAsia="仿宋_GB2312"/>
              </w:rPr>
            </w:pPr>
            <w:r>
              <w:rPr>
                <w:rFonts w:eastAsia="仿宋_GB2312"/>
              </w:rPr>
              <w:t>2.氯酸钠电解与整流隔墙局部破损，需</w:t>
            </w:r>
            <w:r>
              <w:t>釆</w:t>
            </w:r>
            <w:r>
              <w:rPr>
                <w:rFonts w:eastAsia="仿宋_GB2312"/>
              </w:rPr>
              <w:t>用240mm实体墙重新隔断，避免电解室与整流室空气串流，保证整流室安全。</w:t>
            </w:r>
          </w:p>
        </w:tc>
        <w:tc>
          <w:tcPr>
            <w:tcW w:w="1984" w:type="dxa"/>
            <w:vAlign w:val="center"/>
          </w:tcPr>
          <w:p>
            <w:pPr>
              <w:spacing w:line="40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2020年12月31日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理县人民政府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州经信局</w:t>
            </w: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trHeight w:val="1546"/>
        </w:trPr>
        <w:tc>
          <w:tcPr>
            <w:tcW w:w="708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</w:p>
        </w:tc>
        <w:tc>
          <w:tcPr>
            <w:tcW w:w="1703" w:type="dxa"/>
          </w:tcPr>
          <w:p>
            <w:pPr>
              <w:spacing w:line="400" w:lineRule="exact"/>
              <w:rPr>
                <w:rFonts w:eastAsia="仿宋_GB2312"/>
                <w:szCs w:val="21"/>
              </w:rPr>
            </w:pPr>
          </w:p>
          <w:p>
            <w:pPr>
              <w:spacing w:line="4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汶川县</w:t>
            </w:r>
          </w:p>
          <w:p>
            <w:pPr>
              <w:spacing w:line="4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漩三路隐患</w:t>
            </w:r>
          </w:p>
        </w:tc>
        <w:tc>
          <w:tcPr>
            <w:tcW w:w="1772" w:type="dxa"/>
          </w:tcPr>
          <w:p>
            <w:pPr>
              <w:spacing w:line="400" w:lineRule="exact"/>
              <w:ind w:firstLineChars="50" w:firstLine="105"/>
              <w:jc w:val="center"/>
              <w:rPr>
                <w:rFonts w:eastAsia="仿宋_GB2312"/>
                <w:szCs w:val="21"/>
              </w:rPr>
            </w:pPr>
          </w:p>
          <w:p>
            <w:pPr>
              <w:spacing w:line="400" w:lineRule="exact"/>
              <w:ind w:firstLineChars="50" w:firstLine="105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汶川县</w:t>
            </w:r>
          </w:p>
          <w:p>
            <w:pPr>
              <w:spacing w:line="400" w:lineRule="exact"/>
              <w:ind w:firstLineChars="50" w:firstLine="105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水磨镇</w:t>
            </w:r>
          </w:p>
        </w:tc>
        <w:tc>
          <w:tcPr>
            <w:tcW w:w="2997" w:type="dxa"/>
          </w:tcPr>
          <w:p>
            <w:pPr>
              <w:spacing w:line="30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因“8.20”水毁造成部分路段路基悬空，路面损毁，给过往车辆和行人生命财产安全造成威胁，需要增设挡墙，新建路面。</w:t>
            </w:r>
          </w:p>
        </w:tc>
        <w:tc>
          <w:tcPr>
            <w:tcW w:w="1984" w:type="dxa"/>
          </w:tcPr>
          <w:p>
            <w:pPr>
              <w:spacing w:line="400" w:lineRule="exact"/>
              <w:rPr>
                <w:rFonts w:eastAsia="仿宋_GB2312"/>
                <w:szCs w:val="21"/>
              </w:rPr>
            </w:pPr>
          </w:p>
          <w:p>
            <w:pPr>
              <w:spacing w:line="40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2020年12月31日</w:t>
            </w:r>
          </w:p>
        </w:tc>
        <w:tc>
          <w:tcPr>
            <w:tcW w:w="1985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汶川县人民政府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州交通运输局</w:t>
            </w: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trHeight w:val="1413"/>
        </w:trPr>
        <w:tc>
          <w:tcPr>
            <w:tcW w:w="708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</w:t>
            </w:r>
          </w:p>
        </w:tc>
        <w:tc>
          <w:tcPr>
            <w:tcW w:w="1703" w:type="dxa"/>
            <w:vAlign w:val="center"/>
          </w:tcPr>
          <w:p>
            <w:pPr>
              <w:jc w:val="center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cs="仿宋" w:hint="eastAsia"/>
                <w:szCs w:val="21"/>
              </w:rPr>
              <w:t>黑水县麻窝乡</w:t>
            </w:r>
          </w:p>
          <w:p>
            <w:pPr>
              <w:jc w:val="center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cs="仿宋" w:hint="eastAsia"/>
                <w:szCs w:val="21"/>
              </w:rPr>
              <w:t>沙卡村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cs="仿宋" w:hint="eastAsia"/>
                <w:szCs w:val="21"/>
              </w:rPr>
              <w:t>黑水县麻窝乡</w:t>
            </w:r>
          </w:p>
          <w:p>
            <w:pPr>
              <w:jc w:val="center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cs="仿宋" w:hint="eastAsia"/>
                <w:szCs w:val="21"/>
              </w:rPr>
              <w:t>沙卡村K69+060</w:t>
            </w:r>
          </w:p>
        </w:tc>
        <w:tc>
          <w:tcPr>
            <w:tcW w:w="299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cs="仿宋" w:hint="eastAsia"/>
                <w:szCs w:val="21"/>
              </w:rPr>
              <w:t>桥体被落石砸伤造成桥梁坍</w:t>
            </w:r>
          </w:p>
          <w:p>
            <w:pPr>
              <w:spacing w:line="320" w:lineRule="exact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cs="仿宋" w:hint="eastAsia"/>
                <w:szCs w:val="21"/>
              </w:rPr>
              <w:t>塌，裸露的钢筋及主拱圈、引桥2根墩柱的破损，给过往车辆和行人生命财产造成威胁。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2020年12月31日</w:t>
            </w:r>
          </w:p>
        </w:tc>
        <w:tc>
          <w:tcPr>
            <w:tcW w:w="1985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黑水县人民政府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州交通运输局</w:t>
            </w: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trHeight w:val="2251"/>
        </w:trPr>
        <w:tc>
          <w:tcPr>
            <w:tcW w:w="708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</w:t>
            </w:r>
          </w:p>
        </w:tc>
        <w:tc>
          <w:tcPr>
            <w:tcW w:w="1703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小金县同心宾馆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小金县美兴镇</w:t>
            </w:r>
          </w:p>
        </w:tc>
        <w:tc>
          <w:tcPr>
            <w:tcW w:w="2997" w:type="dxa"/>
            <w:vAlign w:val="center"/>
          </w:tcPr>
          <w:p>
            <w:pPr>
              <w:spacing w:line="32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火灾自动报警系统瘫痪，火灾事故发生时不能及时预警，存在严重安全隐患。需更换火灾报警系统中控设备、手动报警器、声光报警器、感应探头等设备，维修报警系统线路。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2020年12月31日</w:t>
            </w:r>
          </w:p>
        </w:tc>
        <w:tc>
          <w:tcPr>
            <w:tcW w:w="1985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小金县人民政府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州消防救援支队</w:t>
            </w: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</w:tr>
      <w:tr>
        <w:trPr>
          <w:trHeight w:val="1119"/>
        </w:trPr>
        <w:tc>
          <w:tcPr>
            <w:tcW w:w="708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</w:t>
            </w:r>
          </w:p>
        </w:tc>
        <w:tc>
          <w:tcPr>
            <w:tcW w:w="1703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壤塘县</w:t>
            </w:r>
            <w:r>
              <w:rPr>
                <w:rFonts w:ascii="仿宋_GB2312" w:eastAsia="仿宋_GB2312" w:hint="eastAsia"/>
                <w:szCs w:val="21"/>
              </w:rPr>
              <w:t>宗科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乡依冬村热四普组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壤塘县宗科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乡依冬村热四普组</w:t>
            </w:r>
          </w:p>
        </w:tc>
        <w:tc>
          <w:tcPr>
            <w:tcW w:w="2997" w:type="dxa"/>
            <w:vAlign w:val="center"/>
          </w:tcPr>
          <w:p>
            <w:pPr>
              <w:spacing w:line="320" w:lineRule="exact"/>
              <w:rPr>
                <w:rFonts w:ascii="仿宋_GB2312" w:eastAsia="仿宋_GB2312" w:cs="宋体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该村民小组所在地山体崩塌隐患点威胁6户33人生命财产安全，需要挂网、修建排水沟。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2020年12月31日</w:t>
            </w:r>
          </w:p>
        </w:tc>
        <w:tc>
          <w:tcPr>
            <w:tcW w:w="1985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壤塘县人民政府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州自然资源局</w:t>
            </w: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</w:tr>
      <w:tr>
        <w:trPr>
          <w:trHeight w:val="1121"/>
        </w:trPr>
        <w:tc>
          <w:tcPr>
            <w:tcW w:w="708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</w:t>
            </w:r>
          </w:p>
        </w:tc>
        <w:tc>
          <w:tcPr>
            <w:tcW w:w="1703" w:type="dxa"/>
            <w:vAlign w:val="center"/>
          </w:tcPr>
          <w:p>
            <w:pPr>
              <w:jc w:val="center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cs="仿宋" w:hint="eastAsia"/>
                <w:szCs w:val="21"/>
              </w:rPr>
              <w:t>茂县鑫新能源有限公司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cs="仿宋" w:hint="eastAsia"/>
                <w:szCs w:val="21"/>
              </w:rPr>
              <w:t>茂县土门镇</w:t>
            </w:r>
          </w:p>
          <w:p>
            <w:pPr>
              <w:jc w:val="center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cs="仿宋" w:hint="eastAsia"/>
                <w:szCs w:val="21"/>
              </w:rPr>
              <w:t>土门园区</w:t>
            </w:r>
          </w:p>
        </w:tc>
        <w:tc>
          <w:tcPr>
            <w:tcW w:w="2997" w:type="dxa"/>
            <w:vAlign w:val="center"/>
          </w:tcPr>
          <w:p>
            <w:pPr>
              <w:spacing w:line="320" w:lineRule="exact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cs="仿宋" w:hint="eastAsia"/>
                <w:szCs w:val="21"/>
              </w:rPr>
              <w:t>构成二级重大危险源的储罐区未配备独立的安全仪表系统。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cs="仿宋" w:hint="eastAsia"/>
                <w:szCs w:val="21"/>
              </w:rPr>
              <w:t>2020年6月31日</w:t>
            </w:r>
          </w:p>
        </w:tc>
        <w:tc>
          <w:tcPr>
            <w:tcW w:w="1985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茂县人民政府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州经信局</w:t>
            </w: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rPr>
          <w:trHeight w:val="1705"/>
        </w:trPr>
        <w:tc>
          <w:tcPr>
            <w:tcW w:w="70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</w:t>
            </w:r>
          </w:p>
        </w:tc>
        <w:tc>
          <w:tcPr>
            <w:tcW w:w="1703" w:type="dxa"/>
            <w:vAlign w:val="center"/>
          </w:tcPr>
          <w:p>
            <w:pPr>
              <w:spacing w:line="320" w:lineRule="exact"/>
              <w:ind w:leftChars="100" w:left="210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cs="仿宋" w:hint="eastAsia"/>
                <w:szCs w:val="21"/>
              </w:rPr>
              <w:t>马尔康市石广东山体滑坡</w:t>
            </w:r>
          </w:p>
        </w:tc>
        <w:tc>
          <w:tcPr>
            <w:tcW w:w="177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cs="仿宋" w:hint="eastAsia"/>
                <w:szCs w:val="21"/>
              </w:rPr>
              <w:t>马尔康市白湾乡石广东村</w:t>
            </w:r>
          </w:p>
        </w:tc>
        <w:tc>
          <w:tcPr>
            <w:tcW w:w="2997" w:type="dxa"/>
            <w:vAlign w:val="center"/>
          </w:tcPr>
          <w:p>
            <w:pPr>
              <w:spacing w:line="320" w:lineRule="exact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hint="eastAsia"/>
              </w:rPr>
              <w:t>马尔康市白湾乡石广东村境内(G248线K987+700处)，山体飞石、垮塌、滑坡，存在严重安全隐患。</w:t>
            </w:r>
          </w:p>
        </w:tc>
        <w:tc>
          <w:tcPr>
            <w:tcW w:w="1984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仿宋"/>
                <w:szCs w:val="21"/>
              </w:rPr>
            </w:pPr>
            <w:r>
              <w:rPr>
                <w:rFonts w:ascii="仿宋_GB2312" w:eastAsia="仿宋_GB2312" w:cs="仿宋" w:hint="eastAsia"/>
                <w:szCs w:val="21"/>
              </w:rPr>
              <w:t>2020年12月31日</w:t>
            </w:r>
          </w:p>
        </w:tc>
        <w:tc>
          <w:tcPr>
            <w:tcW w:w="198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spacing w:line="32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马尔康市人民政府</w:t>
            </w:r>
          </w:p>
        </w:tc>
        <w:tc>
          <w:tcPr>
            <w:tcW w:w="17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州交通运输局</w:t>
            </w:r>
          </w:p>
        </w:tc>
        <w:tc>
          <w:tcPr>
            <w:tcW w:w="87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>
      <w:pPr>
        <w:rPr>
          <w:rFonts w:ascii="黑体" w:eastAsia="黑体"/>
          <w:sz w:val="32"/>
          <w:szCs w:val="32"/>
        </w:rPr>
      </w:pPr>
    </w:p>
    <w:p>
      <w:pPr>
        <w:rPr>
          <w:rFonts w:ascii="黑体" w:eastAsia="黑体"/>
          <w:sz w:val="32"/>
          <w:szCs w:val="32"/>
        </w:rPr>
      </w:pPr>
    </w:p>
    <w:p>
      <w:pPr>
        <w:tabs>
          <w:tab w:val="left" w:pos="2977"/>
        </w:tabs>
        <w:adjustRightInd w:val="0"/>
        <w:snapToGrid w:val="0"/>
        <w:spacing w:line="520" w:lineRule="exact"/>
        <w:jc w:val="center"/>
      </w:pPr>
    </w:p>
    <w:sectPr>
      <w:headerReference w:type="default" r:id="rId2"/>
      <w:footerReference w:type="default" r:id="rId3"/>
      <w:footerReference w:type="even" r:id="rId4"/>
      <w:footerReference w:type="first" r:id="rId5"/>
      <w:pgSz w:w="16838" w:h="11906" w:orient="landscape"/>
      <w:pgMar w:top="1588" w:right="2041" w:bottom="1474" w:left="1985" w:header="851" w:footer="1134" w:gutter="0"/>
      <w:pgNumType w:fmt="numberInDash"/>
      <w:titlePg/>
      <w:docGrid w:type="linesAndChar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5"/>
      <w:tabs>
        <w:tab w:val="center" w:pos="4153"/>
        <w:tab w:val="right" w:pos="8306"/>
      </w:tabs>
      <w:jc w:val="center"/>
      <w:rPr>
        <w:rFonts w:ascii="宋体"/>
        <w:sz w:val="28"/>
        <w:szCs w:val="28"/>
      </w:rPr>
    </w:pPr>
  </w:p>
  <w:p>
    <w:pPr>
      <w:pStyle w:val="15"/>
      <w:tabs>
        <w:tab w:val="center" w:pos="4153"/>
        <w:tab w:val="right" w:pos="8306"/>
      </w:tabs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5"/>
      <w:tabs>
        <w:tab w:val="center" w:pos="4153"/>
        <w:tab w:val="right" w:pos="8306"/>
      </w:tabs>
      <w:rPr>
        <w:rFonts w:ascii="宋体"/>
        <w:sz w:val="28"/>
        <w:szCs w:val="28"/>
      </w:rPr>
    </w:pPr>
    <w:r>
      <w:rPr>
        <w:rFonts w:ascii="宋体"/>
        <w:sz w:val="28"/>
        <w:szCs w:val="28"/>
      </w:rPr>
      <w:fldChar w:fldCharType="begin"/>
    </w:r>
    <w:r>
      <w:rPr>
        <w:rFonts w:ascii="宋体"/>
        <w:sz w:val="28"/>
        <w:szCs w:val="28"/>
      </w:rPr>
      <w:instrText xml:space="preserve"> PAGE   \* MERGEFORMAT </w:instrText>
    </w:r>
    <w:r>
      <w:rPr>
        <w:rFonts w:asci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-</w:t>
    </w:r>
    <w:r>
      <w:rPr>
        <w:rFonts w:ascii="宋体"/>
        <w:sz w:val="28"/>
        <w:szCs w:val="28"/>
      </w:rPr>
      <w:t xml:space="preserve"> 2 -</w:t>
    </w:r>
    <w:r>
      <w:rPr>
        <w:rFonts w:ascii="宋体"/>
        <w:sz w:val="28"/>
        <w:szCs w:val="28"/>
      </w:rPr>
      <w:fldChar w:fldCharType="end"/>
    </w: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5"/>
      <w:tabs>
        <w:tab w:val="center" w:pos="4153"/>
        <w:tab w:val="right" w:pos="8306"/>
      </w:tabs>
      <w:jc w:val="center"/>
    </w:pP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6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styles" Target="style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2</Pages>
  <Words>726</Words>
  <Characters>792</Characters>
  <Lines>118</Lines>
  <Paragraphs>66</Paragraphs>
  <CharactersWithSpaces>792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acer</dc:creator>
  <cp:lastModifiedBy>hj</cp:lastModifiedBy>
  <cp:revision>2</cp:revision>
  <dcterms:created xsi:type="dcterms:W3CDTF">2020-04-24T01:14:00Z</dcterms:created>
</cp:coreProperties>
</file>